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004D" w14:textId="27E95824" w:rsidR="00544B6E" w:rsidRPr="003101B1" w:rsidRDefault="006052B4" w:rsidP="00544B6E">
      <w:pPr>
        <w:spacing w:after="160" w:line="278" w:lineRule="auto"/>
        <w:jc w:val="center"/>
        <w:rPr>
          <w:b/>
          <w:bCs/>
          <w:lang w:val="en-GB"/>
        </w:rPr>
      </w:pPr>
      <w:r w:rsidRPr="003101B1">
        <w:rPr>
          <w:b/>
          <w:bCs/>
          <w:lang w:val="en-GB"/>
        </w:rPr>
        <w:t>NATIONAL BANK OF MOLDOVA</w:t>
      </w:r>
    </w:p>
    <w:p w14:paraId="73967EB5" w14:textId="77777777" w:rsidR="00544B6E" w:rsidRPr="003101B1" w:rsidRDefault="00544B6E" w:rsidP="00544B6E">
      <w:pPr>
        <w:spacing w:after="160" w:line="278" w:lineRule="auto"/>
        <w:jc w:val="center"/>
        <w:rPr>
          <w:lang w:val="en-GB"/>
        </w:rPr>
      </w:pPr>
    </w:p>
    <w:p w14:paraId="6F87E5F4" w14:textId="2F5FEEC1" w:rsidR="00544B6E" w:rsidRPr="003101B1" w:rsidRDefault="006052B4" w:rsidP="00544B6E">
      <w:pPr>
        <w:spacing w:after="160" w:line="278" w:lineRule="auto"/>
        <w:jc w:val="center"/>
        <w:rPr>
          <w:b/>
          <w:bCs/>
          <w:lang w:val="en-GB"/>
        </w:rPr>
      </w:pPr>
      <w:r w:rsidRPr="003101B1">
        <w:rPr>
          <w:b/>
          <w:bCs/>
          <w:lang w:val="en-GB"/>
        </w:rPr>
        <w:t>DECISION</w:t>
      </w:r>
    </w:p>
    <w:p w14:paraId="3AB3B0DC" w14:textId="3890240E" w:rsidR="006052B4" w:rsidRPr="003101B1" w:rsidRDefault="006052B4" w:rsidP="00544B6E">
      <w:pPr>
        <w:spacing w:line="278" w:lineRule="auto"/>
        <w:jc w:val="center"/>
        <w:rPr>
          <w:b/>
          <w:bCs/>
          <w:lang w:val="en-GB"/>
        </w:rPr>
      </w:pPr>
      <w:r w:rsidRPr="003101B1">
        <w:rPr>
          <w:b/>
          <w:bCs/>
          <w:lang w:val="en-GB"/>
        </w:rPr>
        <w:t>o</w:t>
      </w:r>
      <w:r w:rsidR="006507A2">
        <w:rPr>
          <w:b/>
          <w:bCs/>
          <w:lang w:val="en-GB"/>
        </w:rPr>
        <w:t>n</w:t>
      </w:r>
      <w:r w:rsidRPr="003101B1">
        <w:rPr>
          <w:b/>
          <w:bCs/>
          <w:lang w:val="en-GB"/>
        </w:rPr>
        <w:t xml:space="preserve"> the amendment of certain normative acts of the National Bank of Moldova</w:t>
      </w:r>
    </w:p>
    <w:p w14:paraId="171BDB2F" w14:textId="624A5711" w:rsidR="00544B6E" w:rsidRPr="003101B1" w:rsidRDefault="006052B4" w:rsidP="006052B4">
      <w:pPr>
        <w:spacing w:line="278" w:lineRule="auto"/>
        <w:jc w:val="center"/>
        <w:rPr>
          <w:b/>
          <w:bCs/>
          <w:lang w:val="en-GB"/>
        </w:rPr>
      </w:pPr>
      <w:r w:rsidRPr="003101B1">
        <w:rPr>
          <w:b/>
          <w:bCs/>
          <w:lang w:val="en-GB"/>
        </w:rPr>
        <w:t>(own funds of banks and capital requirements)</w:t>
      </w:r>
    </w:p>
    <w:p w14:paraId="22B46B26" w14:textId="77777777" w:rsidR="00544B6E" w:rsidRPr="003101B1" w:rsidRDefault="00544B6E" w:rsidP="00544B6E">
      <w:pPr>
        <w:spacing w:line="278" w:lineRule="auto"/>
        <w:jc w:val="center"/>
        <w:rPr>
          <w:b/>
          <w:bCs/>
          <w:lang w:val="en-GB"/>
        </w:rPr>
      </w:pPr>
    </w:p>
    <w:p w14:paraId="7E7F58CF" w14:textId="2C4896A0" w:rsidR="00544B6E" w:rsidRPr="003101B1" w:rsidRDefault="006052B4" w:rsidP="00544B6E">
      <w:pPr>
        <w:spacing w:line="278" w:lineRule="auto"/>
        <w:jc w:val="center"/>
        <w:rPr>
          <w:b/>
          <w:bCs/>
          <w:lang w:val="en-GB"/>
        </w:rPr>
      </w:pPr>
      <w:r w:rsidRPr="003101B1">
        <w:rPr>
          <w:b/>
          <w:bCs/>
          <w:lang w:val="en-GB"/>
        </w:rPr>
        <w:t>No 76 of 26 March 2026</w:t>
      </w:r>
    </w:p>
    <w:p w14:paraId="767EEC64" w14:textId="1542A9B4" w:rsidR="00544B6E" w:rsidRPr="003101B1" w:rsidRDefault="006052B4" w:rsidP="00544B6E">
      <w:pPr>
        <w:spacing w:line="278" w:lineRule="auto"/>
        <w:jc w:val="center"/>
        <w:rPr>
          <w:lang w:val="en-GB"/>
        </w:rPr>
      </w:pPr>
      <w:r w:rsidRPr="003101B1">
        <w:rPr>
          <w:i/>
          <w:iCs/>
          <w:lang w:val="en-GB"/>
        </w:rPr>
        <w:t>(in force as of 1 July 2027, with the exception of certain provisions set forth in paragraph 4)</w:t>
      </w:r>
    </w:p>
    <w:p w14:paraId="7E3FA771" w14:textId="77777777" w:rsidR="00544B6E" w:rsidRPr="003101B1" w:rsidRDefault="00544B6E" w:rsidP="00544B6E">
      <w:pPr>
        <w:spacing w:after="160" w:line="278" w:lineRule="auto"/>
        <w:jc w:val="center"/>
        <w:rPr>
          <w:lang w:val="en-GB"/>
        </w:rPr>
      </w:pPr>
    </w:p>
    <w:p w14:paraId="6B07A8A3" w14:textId="0D581708" w:rsidR="00544B6E" w:rsidRPr="003101B1" w:rsidRDefault="006052B4" w:rsidP="00544B6E">
      <w:pPr>
        <w:spacing w:after="160" w:line="278" w:lineRule="auto"/>
        <w:jc w:val="center"/>
        <w:rPr>
          <w:lang w:val="en-GB"/>
        </w:rPr>
      </w:pPr>
      <w:r w:rsidRPr="003101B1">
        <w:rPr>
          <w:lang w:val="en-GB"/>
        </w:rPr>
        <w:t>Official Gazette of the Republic of Moldova No 146–147, Article 262 of 2 April 2026</w:t>
      </w:r>
    </w:p>
    <w:p w14:paraId="0BFFF1DE" w14:textId="77777777" w:rsidR="00544B6E" w:rsidRPr="003101B1" w:rsidRDefault="00544B6E" w:rsidP="00544B6E">
      <w:pPr>
        <w:spacing w:after="160" w:line="278" w:lineRule="auto"/>
        <w:jc w:val="center"/>
        <w:rPr>
          <w:lang w:val="en-GB"/>
        </w:rPr>
      </w:pPr>
      <w:r w:rsidRPr="003101B1">
        <w:rPr>
          <w:lang w:val="en-GB"/>
        </w:rPr>
        <w:t>* * *</w:t>
      </w:r>
    </w:p>
    <w:p w14:paraId="154595E2" w14:textId="2585BEBF" w:rsidR="00C035A5" w:rsidRPr="003101B1" w:rsidRDefault="006052B4" w:rsidP="00C035A5">
      <w:pPr>
        <w:tabs>
          <w:tab w:val="left" w:pos="1134"/>
        </w:tabs>
        <w:ind w:firstLine="720"/>
        <w:jc w:val="both"/>
        <w:rPr>
          <w:lang w:val="en-GB" w:eastAsia="ru-RU"/>
        </w:rPr>
      </w:pPr>
      <w:r w:rsidRPr="003101B1">
        <w:rPr>
          <w:lang w:val="en-GB" w:eastAsia="ru-RU"/>
        </w:rPr>
        <w:t>Pursuant to Articles 60-62 of Law No 202/2017 on the activity of banks (Official Gazette of the Republic of Moldova, 2017, No 434-439, Article 727), as amended, the Executive Board of the National Bank of Moldova</w:t>
      </w:r>
    </w:p>
    <w:p w14:paraId="2993C2D7" w14:textId="01D083DD" w:rsidR="00C035A5" w:rsidRPr="003101B1" w:rsidRDefault="00E9500A" w:rsidP="001A7DD3">
      <w:pPr>
        <w:tabs>
          <w:tab w:val="left" w:pos="1134"/>
        </w:tabs>
        <w:ind w:firstLine="720"/>
        <w:jc w:val="center"/>
        <w:rPr>
          <w:b/>
          <w:lang w:val="en-GB" w:eastAsia="ru-RU"/>
        </w:rPr>
      </w:pPr>
      <w:r w:rsidRPr="003101B1">
        <w:rPr>
          <w:b/>
          <w:lang w:val="en-GB" w:eastAsia="ru-RU"/>
        </w:rPr>
        <w:t>DECIDES</w:t>
      </w:r>
      <w:r w:rsidR="00C035A5" w:rsidRPr="003101B1">
        <w:rPr>
          <w:b/>
          <w:lang w:val="en-GB" w:eastAsia="ru-RU"/>
        </w:rPr>
        <w:t>:</w:t>
      </w:r>
    </w:p>
    <w:p w14:paraId="2E14AD7D" w14:textId="30DE035C" w:rsidR="00E919A6" w:rsidRPr="003101B1" w:rsidRDefault="00625810" w:rsidP="00F96EF1">
      <w:pPr>
        <w:tabs>
          <w:tab w:val="left" w:pos="1134"/>
        </w:tabs>
        <w:spacing w:before="80"/>
        <w:ind w:firstLine="567"/>
        <w:jc w:val="both"/>
        <w:rPr>
          <w:bCs/>
          <w:lang w:val="en-GB" w:eastAsia="ru-RU"/>
        </w:rPr>
      </w:pPr>
      <w:r w:rsidRPr="003101B1">
        <w:rPr>
          <w:bCs/>
          <w:lang w:val="en-GB" w:eastAsia="ru-RU"/>
        </w:rPr>
        <w:t>This decision</w:t>
      </w:r>
      <w:r w:rsidR="00E919A6" w:rsidRPr="003101B1">
        <w:rPr>
          <w:bCs/>
          <w:lang w:val="en-GB" w:eastAsia="ru-RU"/>
        </w:rPr>
        <w:t>:</w:t>
      </w:r>
    </w:p>
    <w:p w14:paraId="14CC8236" w14:textId="5B5B2C2F" w:rsidR="00BD457E" w:rsidRPr="003101B1" w:rsidRDefault="00E919A6" w:rsidP="0083387E">
      <w:pPr>
        <w:tabs>
          <w:tab w:val="left" w:pos="1134"/>
        </w:tabs>
        <w:ind w:firstLine="567"/>
        <w:jc w:val="both"/>
        <w:rPr>
          <w:bCs/>
          <w:lang w:val="en-GB" w:eastAsia="ru-RU"/>
        </w:rPr>
      </w:pPr>
      <w:r w:rsidRPr="003101B1">
        <w:rPr>
          <w:bCs/>
          <w:lang w:val="en-GB" w:eastAsia="ru-RU"/>
        </w:rPr>
        <w:t>-</w:t>
      </w:r>
      <w:r w:rsidR="0083387E" w:rsidRPr="003101B1">
        <w:rPr>
          <w:bCs/>
          <w:lang w:val="en-GB" w:eastAsia="ru-RU"/>
        </w:rPr>
        <w:t xml:space="preserve"> </w:t>
      </w:r>
      <w:r w:rsidR="0000332A" w:rsidRPr="003101B1">
        <w:rPr>
          <w:b/>
          <w:lang w:val="en-GB" w:eastAsia="ru-RU"/>
        </w:rPr>
        <w:t xml:space="preserve">partially transposes </w:t>
      </w:r>
      <w:r w:rsidR="0000332A" w:rsidRPr="003101B1">
        <w:rPr>
          <w:bCs/>
          <w:lang w:val="en-GB" w:eastAsia="ru-RU"/>
        </w:rPr>
        <w:t>(transposes Articles 27 paragraphs (1) and (2); Article 28 paragraphs (1) and (3); Article 29 paragraphs (1) through (5); Article 32 paragraphs (1) and (2); Article 33 paragraph (3); Article 36 paragraph (1), letter d), k), m), n), and paragraph (5), Article 40, Article 45, Articles 47a, 47b, and 47c, Article 52 paragraph (1) letters p) through r), Article 54 paragraph (1) letter e), Article 62 letter d) and the last clause, Article 63 paragraph (1) letters a), n) – p), Article 64 paragraph (1), Article 72a, Article 72b paragraphs (1) – (2) and the last sentence, paragraphs (3) and (7), Articles 72c–72d, Article 72e paragraphs (2) – (3) and (5), Article 72f, Article 72j, paragraphs (1) through (2), Article 72l, Article 73 paragraph (3), Article 76, paragraphs (1) through (3), Article 77, paragraph (1), letter b) and paragraph (2), Article 78, first sentence, paragraph (4), letters d) and e), Article 78a, Article 79a, Article 84 paragraph (1) and the second sentence, Article 85 paragraphs (1) and (3), Article 87 paragraphs (1) and (3), Article 92 paragraphs (3), (4) letter a), and (5), Article 94)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2024/1623 of the European Parliament and of the Council of 31 May 2024</w:t>
      </w:r>
      <w:r w:rsidRPr="003101B1">
        <w:rPr>
          <w:bCs/>
          <w:lang w:val="en-GB" w:eastAsia="ru-RU"/>
        </w:rPr>
        <w:t>;</w:t>
      </w:r>
    </w:p>
    <w:p w14:paraId="4151D29E" w14:textId="71AC9FBB" w:rsidR="00BD457E" w:rsidRPr="003101B1" w:rsidRDefault="00E919A6" w:rsidP="0083387E">
      <w:pPr>
        <w:tabs>
          <w:tab w:val="left" w:pos="1134"/>
        </w:tabs>
        <w:ind w:firstLine="567"/>
        <w:jc w:val="both"/>
        <w:rPr>
          <w:bCs/>
          <w:lang w:val="en-GB" w:eastAsia="ru-RU"/>
        </w:rPr>
      </w:pPr>
      <w:r w:rsidRPr="003101B1">
        <w:rPr>
          <w:bCs/>
          <w:lang w:val="en-GB" w:eastAsia="ru-RU"/>
        </w:rPr>
        <w:t xml:space="preserve">- </w:t>
      </w:r>
      <w:r w:rsidR="008053CC" w:rsidRPr="003101B1">
        <w:rPr>
          <w:b/>
          <w:lang w:val="en-GB" w:eastAsia="ru-RU"/>
        </w:rPr>
        <w:t xml:space="preserve">partially transposes </w:t>
      </w:r>
      <w:r w:rsidR="008053CC" w:rsidRPr="003101B1">
        <w:rPr>
          <w:bCs/>
          <w:lang w:val="en-GB" w:eastAsia="ru-RU"/>
        </w:rPr>
        <w:t>(transposes Articles 4–7, Article 8, Article 9, Article 12, Article 13a, Article 20 paragraph (2), Article 21, Article 25, Article 26, Article 30 paragraphs (1) and (3), Article 30a, Article 30b, Article 31, Article 32a, Article 34a) Commission Delegated Regulation (EU) No 241/2014 of 7 January 2014 supplementing Regulation (EU) No 575/2013 of the European Parliament and of the Council with regard to regulatory technical standards for own funds and eligible liabilities requirements for institutions, published in the Official Journal of the European Union L 074 of 14 March 2014, CELEX: 32014R0241, as last amended by Commission Regulation (EU) 2023/827 of 11 October 2022</w:t>
      </w:r>
      <w:r w:rsidRPr="003101B1">
        <w:rPr>
          <w:bCs/>
          <w:lang w:val="en-GB" w:eastAsia="ru-RU"/>
        </w:rPr>
        <w:t>;</w:t>
      </w:r>
    </w:p>
    <w:p w14:paraId="7756F308" w14:textId="57A79809" w:rsidR="00E92D5D" w:rsidRPr="003101B1" w:rsidRDefault="00E919A6" w:rsidP="00F96EF1">
      <w:pPr>
        <w:tabs>
          <w:tab w:val="left" w:pos="1134"/>
        </w:tabs>
        <w:ind w:firstLine="567"/>
        <w:jc w:val="both"/>
        <w:rPr>
          <w:bCs/>
          <w:lang w:val="en-GB" w:eastAsia="ru-RU"/>
        </w:rPr>
      </w:pPr>
      <w:r w:rsidRPr="003101B1">
        <w:rPr>
          <w:bCs/>
          <w:lang w:val="en-GB" w:eastAsia="ru-RU"/>
        </w:rPr>
        <w:t xml:space="preserve">- </w:t>
      </w:r>
      <w:r w:rsidR="00A549BE" w:rsidRPr="003101B1">
        <w:rPr>
          <w:b/>
          <w:lang w:val="en-GB" w:eastAsia="ru-RU"/>
        </w:rPr>
        <w:t xml:space="preserve">transposes Commission Delegated Regulation (EU) No 523/2014 </w:t>
      </w:r>
      <w:r w:rsidR="00A549BE" w:rsidRPr="003101B1">
        <w:rPr>
          <w:bCs/>
          <w:lang w:val="en-GB" w:eastAsia="ru-RU"/>
        </w:rPr>
        <w:t xml:space="preserve">of 12 March 2014 supplementing Regulation (EU) No 575/ 2013 of the European Parliament and of the Council with regard to regulatory technical standards for determining what constitutes the close correspondence </w:t>
      </w:r>
      <w:r w:rsidR="00A549BE" w:rsidRPr="003101B1">
        <w:rPr>
          <w:bCs/>
          <w:lang w:val="en-GB" w:eastAsia="ru-RU"/>
        </w:rPr>
        <w:lastRenderedPageBreak/>
        <w:t>between the value of an institution’s covered bonds and the value of the institution’s assets, published in the Official Journal of the European Union L 148 of 20 May 2014, CELEX: 32014R0523</w:t>
      </w:r>
      <w:r w:rsidRPr="003101B1">
        <w:rPr>
          <w:bCs/>
          <w:lang w:val="en-GB" w:eastAsia="ru-RU"/>
        </w:rPr>
        <w:t>.</w:t>
      </w:r>
    </w:p>
    <w:p w14:paraId="430C87B4" w14:textId="2DFDEF72" w:rsidR="001537B3" w:rsidRPr="003101B1" w:rsidRDefault="00867C8C" w:rsidP="001537B3">
      <w:pPr>
        <w:pStyle w:val="ListParagraph"/>
        <w:numPr>
          <w:ilvl w:val="0"/>
          <w:numId w:val="27"/>
        </w:numPr>
        <w:tabs>
          <w:tab w:val="left" w:pos="0"/>
        </w:tabs>
        <w:spacing w:before="80" w:after="80"/>
        <w:ind w:left="0" w:firstLine="567"/>
        <w:contextualSpacing w:val="0"/>
        <w:jc w:val="both"/>
        <w:rPr>
          <w:lang w:val="en-GB"/>
        </w:rPr>
      </w:pPr>
      <w:r w:rsidRPr="003101B1">
        <w:rPr>
          <w:lang w:val="en-GB"/>
        </w:rPr>
        <w:t>Paragraph 7 of the Regulation on assets and conditional commitments classification, approved by Decision No 231/2011 of the Council of Administration of the National Bank of Moldova (Official Gazette of the Republic of Moldova, 2011, No 216–221, Article 2007), registered with the Ministry of Justice of the Republic of Moldova under No 856 on 1 December 2011, shall be supplemented with the text “taking into account non-performing exposures deducted in accordance with the Regulation on own funds of banks and capital requirements, approved by Decision No 109/2018 of the Executive Board of the National Bank of Moldova</w:t>
      </w:r>
      <w:r w:rsidR="001537B3" w:rsidRPr="003101B1">
        <w:rPr>
          <w:lang w:val="en-GB"/>
        </w:rPr>
        <w:t>”.</w:t>
      </w:r>
    </w:p>
    <w:p w14:paraId="1FBEC95A" w14:textId="06FDE80B" w:rsidR="00C035A5" w:rsidRPr="003101B1" w:rsidRDefault="00A476D3" w:rsidP="00F96EF1">
      <w:pPr>
        <w:pStyle w:val="ListParagraph"/>
        <w:numPr>
          <w:ilvl w:val="0"/>
          <w:numId w:val="27"/>
        </w:numPr>
        <w:tabs>
          <w:tab w:val="left" w:pos="567"/>
          <w:tab w:val="left" w:pos="720"/>
        </w:tabs>
        <w:spacing w:before="80"/>
        <w:ind w:left="0" w:firstLine="567"/>
        <w:jc w:val="both"/>
        <w:rPr>
          <w:lang w:val="en-GB"/>
        </w:rPr>
      </w:pPr>
      <w:bookmarkStart w:id="0" w:name="_Hlk168992658"/>
      <w:r w:rsidRPr="003101B1">
        <w:rPr>
          <w:lang w:val="en-GB"/>
        </w:rPr>
        <w:t>Decision No 109/2018 of the Executive Board of the National Bank of Moldova on the approval of the Regulation on own funds of banks and capital requirements (Official Gazette of the Republic of Moldova, 2018, No 183–194, Article 899), registered with the Ministry of Justice of the Republic of Moldova under No 1332/2018, is amended as follows</w:t>
      </w:r>
      <w:r w:rsidR="00646CFD" w:rsidRPr="003101B1">
        <w:rPr>
          <w:color w:val="000000" w:themeColor="text1"/>
          <w:lang w:val="en-GB" w:eastAsia="ru-RU"/>
        </w:rPr>
        <w:t>:</w:t>
      </w:r>
    </w:p>
    <w:bookmarkEnd w:id="0"/>
    <w:p w14:paraId="640061A3" w14:textId="545609F0" w:rsidR="00400A54" w:rsidRPr="003101B1" w:rsidRDefault="00A476D3" w:rsidP="007A3C61">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In the adoption clause of the decision, the text “Law No 548-XIII of 21 July 1995” shall be replaced by the text “Law No 548/1995” and the text “Law No 202 of 6 October 2017” shall be replaced by the corresponding text “Law No 202/2017”, and the words “and supplemented” shall be deleted</w:t>
      </w:r>
      <w:r w:rsidR="00B822F7" w:rsidRPr="003101B1">
        <w:rPr>
          <w:lang w:val="en-GB"/>
        </w:rPr>
        <w:t>;</w:t>
      </w:r>
    </w:p>
    <w:p w14:paraId="7522101F" w14:textId="21D34E6B" w:rsidR="00F75A09" w:rsidRPr="003101B1" w:rsidRDefault="00C56DB1" w:rsidP="00F75A09">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Throughout the Regulation, the text “Law No 202 of 6 October 2017 on the activity of banks” in any grammatical form, shall be replaced by the text “Law No 202/2017,” in the corresponding grammatical form</w:t>
      </w:r>
      <w:r w:rsidR="00F75A09" w:rsidRPr="003101B1">
        <w:rPr>
          <w:lang w:val="en-GB"/>
        </w:rPr>
        <w:t>.</w:t>
      </w:r>
    </w:p>
    <w:p w14:paraId="67801642" w14:textId="588E46A4" w:rsidR="004F279E" w:rsidRPr="003101B1" w:rsidRDefault="00C56DB1" w:rsidP="007A3C61">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The harmonisation clause shall read as follows</w:t>
      </w:r>
      <w:r w:rsidR="004F279E" w:rsidRPr="003101B1">
        <w:rPr>
          <w:lang w:val="en-GB"/>
        </w:rPr>
        <w:t>:</w:t>
      </w:r>
    </w:p>
    <w:p w14:paraId="71B41D4F" w14:textId="6B6E050A" w:rsidR="007919F6" w:rsidRPr="003101B1" w:rsidRDefault="00C4046C" w:rsidP="007919F6">
      <w:pPr>
        <w:tabs>
          <w:tab w:val="left" w:pos="567"/>
          <w:tab w:val="left" w:pos="851"/>
        </w:tabs>
        <w:spacing w:before="80"/>
        <w:jc w:val="both"/>
        <w:rPr>
          <w:lang w:val="en-GB"/>
        </w:rPr>
      </w:pPr>
      <w:r w:rsidRPr="003101B1">
        <w:rPr>
          <w:lang w:val="en-GB"/>
        </w:rPr>
        <w:t>“</w:t>
      </w:r>
      <w:r w:rsidR="007919F6" w:rsidRPr="003101B1">
        <w:rPr>
          <w:lang w:val="en-GB"/>
        </w:rPr>
        <w:t xml:space="preserve">- </w:t>
      </w:r>
      <w:bookmarkStart w:id="1" w:name="_Hlk227923794"/>
      <w:r w:rsidRPr="003101B1">
        <w:rPr>
          <w:lang w:val="en-GB"/>
        </w:rPr>
        <w:t>Article 4 (1) paragraphs (102)–(104), paragraphs (107)–(114), paragraphs (117)–(120), paragraph (122), paragraph (126), paragraph (128), Article 25, Article 26 (1)-(3), Article 27, Article 28, Article 29, Article 30, Article 31, Article 32, Articles 33-39, Article 40, Articles 41-48, Articles 50-75, Article 76, Articles 77-79, Article 79a, Article 81, Article 82, Article 84 (1), (3), and (5), Article 85 (1), (3), and (5), Article 86, Article 87 (1) and (3), Article 88, Articles 92–94, and Article 99 (1) of Regulation No 575/2013 of the European Parliament and of the Council of 26 June 2013 on prudential requirements for credit institutions and investment firms and amending Regulation (EU) No 648/2012, published in the Official Journal of the European Union No L 176 of 27 June 2013, as amended by Regulation (EU) 2024/1623 of the European Parliament and of the Council of 31 May 2024 amending Regulation (EU) No 575/2013 as regards requirements for credit risk, credit valuation adjustment risk, operational risk, market risk, and the minimum threshold for capital requirements</w:t>
      </w:r>
      <w:bookmarkEnd w:id="1"/>
      <w:r w:rsidR="007919F6" w:rsidRPr="003101B1">
        <w:rPr>
          <w:lang w:val="en-GB"/>
        </w:rPr>
        <w:t>;</w:t>
      </w:r>
    </w:p>
    <w:p w14:paraId="25D557A9" w14:textId="5313231E" w:rsidR="007919F6" w:rsidRPr="003101B1" w:rsidRDefault="007919F6" w:rsidP="007919F6">
      <w:pPr>
        <w:tabs>
          <w:tab w:val="left" w:pos="567"/>
          <w:tab w:val="left" w:pos="851"/>
        </w:tabs>
        <w:spacing w:before="80"/>
        <w:jc w:val="both"/>
        <w:rPr>
          <w:lang w:val="en-GB"/>
        </w:rPr>
      </w:pPr>
      <w:r w:rsidRPr="003101B1">
        <w:rPr>
          <w:lang w:val="en-GB"/>
        </w:rPr>
        <w:t xml:space="preserve">- </w:t>
      </w:r>
      <w:r w:rsidR="007B4530" w:rsidRPr="003101B1">
        <w:rPr>
          <w:lang w:val="en-GB"/>
        </w:rPr>
        <w:t>Articles 2–7, Article 7a, Article 7b (1), Article 8, Article 9, Articles 12–15a (1)–(2), Articles 15b–16 (1), Articles 20–23, Article 24a (1), Articles 25–31, Article 32a, Article 33, and Article 34a (1), (3)–(7) of Commission Delegated Regulation (EU) No 241/2014 of 7 January 2014 supplementing Regulation (EU) No 575/2013 of the European Parliament and of the Council with regard to regulatory technical standards for own funds requirements for institutions, published in the Official Journal of the European Union No L 148/4 of 20 May 2014</w:t>
      </w:r>
      <w:r w:rsidRPr="003101B1">
        <w:rPr>
          <w:lang w:val="en-GB"/>
        </w:rPr>
        <w:t xml:space="preserve">; </w:t>
      </w:r>
    </w:p>
    <w:p w14:paraId="0490C0E5" w14:textId="1A656AC7" w:rsidR="007919F6" w:rsidRPr="003101B1" w:rsidRDefault="007919F6" w:rsidP="007919F6">
      <w:pPr>
        <w:tabs>
          <w:tab w:val="left" w:pos="567"/>
          <w:tab w:val="left" w:pos="851"/>
        </w:tabs>
        <w:spacing w:before="80"/>
        <w:jc w:val="both"/>
        <w:rPr>
          <w:lang w:val="en-GB"/>
        </w:rPr>
      </w:pPr>
      <w:r w:rsidRPr="003101B1">
        <w:rPr>
          <w:lang w:val="en-GB"/>
        </w:rPr>
        <w:t xml:space="preserve">- </w:t>
      </w:r>
      <w:r w:rsidR="00B77ECF" w:rsidRPr="003101B1">
        <w:rPr>
          <w:lang w:val="en-GB"/>
        </w:rPr>
        <w:t>Commission Delegated Regulation (EU) 2015/923 of 11 March 2015 amending Delegated Regulation (EU) No 241/2014 supplementing Regulation (EU) No 575/2013 of the European Parliament and of the Council with regard to regulatory technical standards for own funds requirements for institutions, published in the Official Journal of the European Union No L 135 of 2 June 2015</w:t>
      </w:r>
      <w:r w:rsidR="00C95510" w:rsidRPr="003101B1">
        <w:rPr>
          <w:lang w:val="en-GB"/>
        </w:rPr>
        <w:t>;</w:t>
      </w:r>
    </w:p>
    <w:p w14:paraId="235ACC4D" w14:textId="207CD437" w:rsidR="00825DEF" w:rsidRPr="003101B1" w:rsidRDefault="007919F6" w:rsidP="007919F6">
      <w:pPr>
        <w:tabs>
          <w:tab w:val="left" w:pos="567"/>
          <w:tab w:val="left" w:pos="851"/>
        </w:tabs>
        <w:spacing w:before="80"/>
        <w:jc w:val="both"/>
        <w:rPr>
          <w:lang w:val="en-GB"/>
        </w:rPr>
      </w:pPr>
      <w:r w:rsidRPr="003101B1">
        <w:rPr>
          <w:lang w:val="en-GB"/>
        </w:rPr>
        <w:t xml:space="preserve">- </w:t>
      </w:r>
      <w:r w:rsidR="002E478B" w:rsidRPr="003101B1">
        <w:rPr>
          <w:lang w:val="en-GB"/>
        </w:rPr>
        <w:t xml:space="preserve">Article 2 of Commission Delegated Regulation (EU) No 523/2014 of 12 March 2014 supplementing Regulation (EU) No 575/ 2013 of the European Parliament and of the Council with regard to </w:t>
      </w:r>
      <w:r w:rsidR="002E478B" w:rsidRPr="003101B1">
        <w:rPr>
          <w:lang w:val="en-GB"/>
        </w:rPr>
        <w:lastRenderedPageBreak/>
        <w:t>regulatory technical standards for determining what constitutes the close correspondence between the value of an institution’s covered bonds and the value of the institution’s assets, published in the Official Journal of the European Union L 148 of 20 May 2014, CELEX: 32014R0523</w:t>
      </w:r>
      <w:r w:rsidRPr="003101B1">
        <w:rPr>
          <w:lang w:val="en-GB"/>
        </w:rPr>
        <w:t>.”</w:t>
      </w:r>
      <w:r w:rsidR="004449F6" w:rsidRPr="003101B1">
        <w:rPr>
          <w:lang w:val="en-GB"/>
        </w:rPr>
        <w:t>.</w:t>
      </w:r>
    </w:p>
    <w:p w14:paraId="54539E5B" w14:textId="197683C8" w:rsidR="00585B01" w:rsidRPr="003101B1" w:rsidRDefault="002E478B" w:rsidP="007A3C61">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In paragraph 1, the words “in the calculation of own funds” are supplemented with the words “and eligible liabilities</w:t>
      </w:r>
      <w:r w:rsidR="00585B01" w:rsidRPr="003101B1">
        <w:rPr>
          <w:lang w:val="en-GB"/>
        </w:rPr>
        <w:t>”.</w:t>
      </w:r>
    </w:p>
    <w:p w14:paraId="26DBF7F9" w14:textId="22ADE8AB" w:rsidR="00825DEF" w:rsidRPr="003101B1" w:rsidRDefault="002E478B" w:rsidP="007A3C61">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In paragraph</w:t>
      </w:r>
      <w:r w:rsidR="00825DEF" w:rsidRPr="003101B1">
        <w:rPr>
          <w:lang w:val="en-GB"/>
        </w:rPr>
        <w:t xml:space="preserve"> 4:</w:t>
      </w:r>
    </w:p>
    <w:p w14:paraId="15F1A46C" w14:textId="7B40C7F6" w:rsidR="002D789A" w:rsidRPr="003101B1" w:rsidRDefault="00A07B2E" w:rsidP="007A3C61">
      <w:pPr>
        <w:pStyle w:val="ListParagraph"/>
        <w:numPr>
          <w:ilvl w:val="2"/>
          <w:numId w:val="27"/>
        </w:numPr>
        <w:tabs>
          <w:tab w:val="left" w:pos="567"/>
          <w:tab w:val="left" w:pos="851"/>
        </w:tabs>
        <w:ind w:left="0" w:firstLine="567"/>
        <w:contextualSpacing w:val="0"/>
        <w:jc w:val="both"/>
        <w:rPr>
          <w:lang w:val="en-GB"/>
        </w:rPr>
      </w:pPr>
      <w:r w:rsidRPr="003101B1">
        <w:rPr>
          <w:lang w:val="en-GB"/>
        </w:rPr>
        <w:t xml:space="preserve">The text “Law No 202 of 6 October 2017 on the activity of banks” shall be replaced by the text “Law No 202/2017 </w:t>
      </w:r>
      <w:bookmarkStart w:id="2" w:name="_Hlk227930038"/>
      <w:r w:rsidRPr="003101B1">
        <w:rPr>
          <w:lang w:val="en-GB"/>
        </w:rPr>
        <w:t>on the activity of banks (hereinafter referred to as Law No 202/2017)</w:t>
      </w:r>
      <w:bookmarkEnd w:id="2"/>
      <w:r w:rsidR="002D789A" w:rsidRPr="003101B1">
        <w:rPr>
          <w:lang w:val="en-GB"/>
        </w:rPr>
        <w:t>”.”</w:t>
      </w:r>
    </w:p>
    <w:p w14:paraId="13BB3603" w14:textId="6CE15F48" w:rsidR="000703D5" w:rsidRPr="003101B1" w:rsidRDefault="00A07B2E" w:rsidP="007A3C61">
      <w:pPr>
        <w:pStyle w:val="ListParagraph"/>
        <w:numPr>
          <w:ilvl w:val="2"/>
          <w:numId w:val="27"/>
        </w:numPr>
        <w:tabs>
          <w:tab w:val="left" w:pos="567"/>
          <w:tab w:val="left" w:pos="851"/>
        </w:tabs>
        <w:ind w:left="0" w:firstLine="567"/>
        <w:contextualSpacing w:val="0"/>
        <w:jc w:val="both"/>
        <w:rPr>
          <w:lang w:val="en-GB"/>
        </w:rPr>
      </w:pPr>
      <w:r w:rsidRPr="003101B1">
        <w:rPr>
          <w:lang w:val="en-GB"/>
        </w:rPr>
        <w:t xml:space="preserve">After the term “assets of the defined benefit pension fund,” the term “other </w:t>
      </w:r>
      <w:r w:rsidR="00023B04" w:rsidRPr="003101B1">
        <w:rPr>
          <w:lang w:val="en-GB"/>
        </w:rPr>
        <w:t>capital</w:t>
      </w:r>
      <w:r w:rsidRPr="003101B1">
        <w:rPr>
          <w:lang w:val="en-GB"/>
        </w:rPr>
        <w:t xml:space="preserve"> instruments” shall be added with the following content:</w:t>
      </w:r>
    </w:p>
    <w:p w14:paraId="551D3013" w14:textId="76A82B08" w:rsidR="000703D5" w:rsidRPr="003101B1" w:rsidRDefault="00A07B2E" w:rsidP="000703D5">
      <w:pPr>
        <w:tabs>
          <w:tab w:val="left" w:pos="567"/>
          <w:tab w:val="left" w:pos="851"/>
        </w:tabs>
        <w:jc w:val="both"/>
        <w:rPr>
          <w:lang w:val="en-GB"/>
        </w:rPr>
      </w:pPr>
      <w:r w:rsidRPr="003101B1">
        <w:rPr>
          <w:lang w:val="en-GB"/>
        </w:rPr>
        <w:t>“</w:t>
      </w:r>
      <w:r w:rsidR="00853C35" w:rsidRPr="003101B1">
        <w:rPr>
          <w:b/>
          <w:bCs/>
          <w:lang w:val="en-GB"/>
        </w:rPr>
        <w:t xml:space="preserve">other capital instruments - </w:t>
      </w:r>
      <w:r w:rsidR="00853C35" w:rsidRPr="003101B1">
        <w:rPr>
          <w:lang w:val="en-GB"/>
        </w:rPr>
        <w:t>capital instruments issued by financial sector entities that do not qualify as Common Equity Tier 1, Additional Tier 1 or Tier 2 instruments, Tier 1 own-fund insurance items, Additional Tier 1 own-fund insurance items, Tier 2 own-fund insurance items or Tier 3 own-fund insurance items</w:t>
      </w:r>
      <w:r w:rsidR="000703D5" w:rsidRPr="003101B1">
        <w:rPr>
          <w:lang w:val="en-GB"/>
        </w:rPr>
        <w:t>;”;</w:t>
      </w:r>
    </w:p>
    <w:p w14:paraId="6ACFC0E6" w14:textId="5CE54E48" w:rsidR="00825DEF" w:rsidRPr="003101B1" w:rsidRDefault="00DC0285" w:rsidP="007A3C61">
      <w:pPr>
        <w:pStyle w:val="ListParagraph"/>
        <w:numPr>
          <w:ilvl w:val="2"/>
          <w:numId w:val="27"/>
        </w:numPr>
        <w:tabs>
          <w:tab w:val="left" w:pos="567"/>
          <w:tab w:val="left" w:pos="851"/>
        </w:tabs>
        <w:ind w:left="0" w:firstLine="567"/>
        <w:contextualSpacing w:val="0"/>
        <w:jc w:val="both"/>
        <w:rPr>
          <w:lang w:val="en-GB"/>
        </w:rPr>
      </w:pPr>
      <w:r w:rsidRPr="003101B1">
        <w:rPr>
          <w:lang w:val="en-GB"/>
        </w:rPr>
        <w:t>the notion</w:t>
      </w:r>
      <w:r w:rsidR="00825DEF" w:rsidRPr="003101B1">
        <w:rPr>
          <w:lang w:val="en-GB"/>
        </w:rPr>
        <w:t xml:space="preserve"> </w:t>
      </w:r>
      <w:r w:rsidRPr="003101B1">
        <w:rPr>
          <w:lang w:val="en-GB"/>
        </w:rPr>
        <w:t>“indirect holding</w:t>
      </w:r>
      <w:r w:rsidR="005829AF" w:rsidRPr="003101B1">
        <w:rPr>
          <w:lang w:val="en-GB"/>
        </w:rPr>
        <w:t>”</w:t>
      </w:r>
      <w:r w:rsidR="00825DEF" w:rsidRPr="003101B1">
        <w:rPr>
          <w:lang w:val="en-GB"/>
        </w:rPr>
        <w:t xml:space="preserve"> </w:t>
      </w:r>
      <w:r w:rsidRPr="003101B1">
        <w:rPr>
          <w:lang w:val="en-GB"/>
        </w:rPr>
        <w:t>shall read as follows</w:t>
      </w:r>
      <w:r w:rsidR="00825DEF" w:rsidRPr="003101B1">
        <w:rPr>
          <w:lang w:val="en-GB"/>
        </w:rPr>
        <w:t>:</w:t>
      </w:r>
    </w:p>
    <w:p w14:paraId="075AAE2D" w14:textId="4904C06B" w:rsidR="00825DEF" w:rsidRPr="003101B1" w:rsidRDefault="00DC0285" w:rsidP="00825DEF">
      <w:pPr>
        <w:tabs>
          <w:tab w:val="left" w:pos="567"/>
          <w:tab w:val="left" w:pos="851"/>
        </w:tabs>
        <w:jc w:val="both"/>
        <w:rPr>
          <w:lang w:val="en-GB"/>
        </w:rPr>
      </w:pPr>
      <w:r w:rsidRPr="003101B1">
        <w:rPr>
          <w:lang w:val="en-GB"/>
        </w:rPr>
        <w:t>“</w:t>
      </w:r>
      <w:r w:rsidRPr="003101B1">
        <w:rPr>
          <w:b/>
          <w:bCs/>
          <w:lang w:val="en-GB"/>
        </w:rPr>
        <w:t xml:space="preserve">indirect holding - </w:t>
      </w:r>
      <w:bookmarkStart w:id="3" w:name="_Hlk227931833"/>
      <w:r w:rsidRPr="003101B1">
        <w:rPr>
          <w:lang w:val="en-GB"/>
        </w:rPr>
        <w:t>any exposure to an intermediate entity that has an exposure to capital instruments issued by a financial sector entity or to liabilities issued by a bank where, if the value of the capital instruments issued by the financial sector entity or of the liabilities issued by the bank were written off, the losses incurred by that bank as a result would not be materially different from the losses it would incur from a direct holding of those capital instruments issued by the financial sector entity or of those liabilities issued by the bank</w:t>
      </w:r>
      <w:bookmarkEnd w:id="3"/>
      <w:r w:rsidR="005829AF" w:rsidRPr="003101B1">
        <w:rPr>
          <w:lang w:val="en-GB"/>
        </w:rPr>
        <w:t>;”;</w:t>
      </w:r>
    </w:p>
    <w:p w14:paraId="6CEFEDDD" w14:textId="599B5676" w:rsidR="00825DEF" w:rsidRPr="003101B1" w:rsidRDefault="00DC0285" w:rsidP="00825DEF">
      <w:pPr>
        <w:pStyle w:val="ListParagraph"/>
        <w:numPr>
          <w:ilvl w:val="2"/>
          <w:numId w:val="27"/>
        </w:numPr>
        <w:tabs>
          <w:tab w:val="left" w:pos="567"/>
          <w:tab w:val="left" w:pos="851"/>
        </w:tabs>
        <w:ind w:left="0" w:firstLine="567"/>
        <w:jc w:val="both"/>
        <w:rPr>
          <w:lang w:val="en-GB"/>
        </w:rPr>
      </w:pPr>
      <w:r w:rsidRPr="003101B1">
        <w:rPr>
          <w:lang w:val="en-GB"/>
        </w:rPr>
        <w:t>the notion “synthetic holding” shall be supplemented by the words “</w:t>
      </w:r>
      <w:bookmarkStart w:id="4" w:name="_Hlk227931932"/>
      <w:r w:rsidRPr="003101B1">
        <w:rPr>
          <w:lang w:val="en-GB"/>
        </w:rPr>
        <w:t>or by the amount of the liabilities issued by a bank</w:t>
      </w:r>
      <w:bookmarkEnd w:id="4"/>
      <w:r w:rsidRPr="003101B1">
        <w:rPr>
          <w:lang w:val="en-GB"/>
        </w:rPr>
        <w:t>;</w:t>
      </w:r>
      <w:r w:rsidR="00825DEF" w:rsidRPr="003101B1">
        <w:rPr>
          <w:lang w:val="en-GB"/>
        </w:rPr>
        <w:t>”;</w:t>
      </w:r>
    </w:p>
    <w:p w14:paraId="0A3D91E5" w14:textId="70A2358F" w:rsidR="00E0545C" w:rsidRPr="003101B1" w:rsidRDefault="004640D6" w:rsidP="00825DEF">
      <w:pPr>
        <w:pStyle w:val="ListParagraph"/>
        <w:numPr>
          <w:ilvl w:val="2"/>
          <w:numId w:val="27"/>
        </w:numPr>
        <w:tabs>
          <w:tab w:val="left" w:pos="567"/>
          <w:tab w:val="left" w:pos="851"/>
        </w:tabs>
        <w:ind w:left="0" w:firstLine="567"/>
        <w:jc w:val="both"/>
        <w:rPr>
          <w:lang w:val="en-GB"/>
        </w:rPr>
      </w:pPr>
      <w:r w:rsidRPr="003101B1">
        <w:rPr>
          <w:lang w:val="en-GB"/>
        </w:rPr>
        <w:t>the notion “distributable items”, the words “, those losses and reserves” shall be replaced by the words “, those profits, losses and reserves;</w:t>
      </w:r>
      <w:r w:rsidR="00E0545C" w:rsidRPr="003101B1">
        <w:rPr>
          <w:lang w:val="en-GB"/>
        </w:rPr>
        <w:t>”</w:t>
      </w:r>
      <w:r w:rsidR="00FD7FBD" w:rsidRPr="003101B1">
        <w:rPr>
          <w:lang w:val="en-GB"/>
        </w:rPr>
        <w:t>;</w:t>
      </w:r>
    </w:p>
    <w:p w14:paraId="02550FBB" w14:textId="599A01A2" w:rsidR="005829AF" w:rsidRPr="003101B1" w:rsidRDefault="00E721D5" w:rsidP="00825DEF">
      <w:pPr>
        <w:pStyle w:val="ListParagraph"/>
        <w:numPr>
          <w:ilvl w:val="2"/>
          <w:numId w:val="27"/>
        </w:numPr>
        <w:tabs>
          <w:tab w:val="left" w:pos="567"/>
          <w:tab w:val="left" w:pos="851"/>
        </w:tabs>
        <w:ind w:left="0" w:firstLine="567"/>
        <w:jc w:val="both"/>
        <w:rPr>
          <w:lang w:val="en-GB"/>
        </w:rPr>
      </w:pPr>
      <w:r w:rsidRPr="003101B1">
        <w:rPr>
          <w:lang w:val="en-GB"/>
        </w:rPr>
        <w:t>after the notion “distributable items” shall be supplemented by the terms “resolution entity”, “specialised debt restructurer” and “resolution group” as follows</w:t>
      </w:r>
      <w:r w:rsidR="005829AF" w:rsidRPr="003101B1">
        <w:rPr>
          <w:lang w:val="en-GB"/>
        </w:rPr>
        <w:t>:</w:t>
      </w:r>
    </w:p>
    <w:p w14:paraId="0BEC1678" w14:textId="3E336252" w:rsidR="00136F0B" w:rsidRPr="003101B1" w:rsidRDefault="004606D5" w:rsidP="00E97068">
      <w:pPr>
        <w:jc w:val="both"/>
        <w:rPr>
          <w:lang w:val="en-GB" w:eastAsia="ro-MD"/>
        </w:rPr>
      </w:pPr>
      <w:bookmarkStart w:id="5" w:name="_Hlk206665208"/>
      <w:r w:rsidRPr="003101B1">
        <w:rPr>
          <w:lang w:val="en-GB"/>
        </w:rPr>
        <w:t>“</w:t>
      </w:r>
      <w:bookmarkStart w:id="6" w:name="_Hlk227938515"/>
      <w:r w:rsidR="004D57FE" w:rsidRPr="003101B1">
        <w:rPr>
          <w:b/>
          <w:bCs/>
          <w:lang w:val="en-GB" w:eastAsia="ro-MD"/>
        </w:rPr>
        <w:t>resolution entity</w:t>
      </w:r>
      <w:r w:rsidR="00115B4D" w:rsidRPr="003101B1">
        <w:rPr>
          <w:lang w:val="en-GB"/>
        </w:rPr>
        <w:t xml:space="preserve"> </w:t>
      </w:r>
      <w:r w:rsidR="004D57FE" w:rsidRPr="003101B1">
        <w:rPr>
          <w:lang w:val="en-GB"/>
        </w:rPr>
        <w:t>-</w:t>
      </w:r>
      <w:r w:rsidR="00115B4D" w:rsidRPr="003101B1">
        <w:rPr>
          <w:lang w:val="en-GB"/>
        </w:rPr>
        <w:t xml:space="preserve"> </w:t>
      </w:r>
      <w:r w:rsidR="004D57FE" w:rsidRPr="003101B1">
        <w:rPr>
          <w:lang w:val="en-GB"/>
        </w:rPr>
        <w:t xml:space="preserve">a resolution entity as defined in Law No 232/2016 on banks recovery and resolution (hereinafter </w:t>
      </w:r>
      <w:r w:rsidR="000D658C" w:rsidRPr="003101B1">
        <w:rPr>
          <w:lang w:val="en-GB"/>
        </w:rPr>
        <w:t>–</w:t>
      </w:r>
      <w:r w:rsidR="004D57FE" w:rsidRPr="003101B1">
        <w:rPr>
          <w:lang w:val="en-GB"/>
        </w:rPr>
        <w:t xml:space="preserve"> </w:t>
      </w:r>
      <w:r w:rsidR="000D658C" w:rsidRPr="003101B1">
        <w:rPr>
          <w:lang w:val="en-GB"/>
        </w:rPr>
        <w:t>“</w:t>
      </w:r>
      <w:r w:rsidR="004D57FE" w:rsidRPr="003101B1">
        <w:rPr>
          <w:lang w:val="en-GB"/>
        </w:rPr>
        <w:t>Law No 232/2016</w:t>
      </w:r>
      <w:r w:rsidR="00115B4D" w:rsidRPr="003101B1">
        <w:rPr>
          <w:lang w:val="en-GB" w:eastAsia="ro-MD"/>
        </w:rPr>
        <w:t>”)</w:t>
      </w:r>
      <w:r w:rsidR="00136F0B" w:rsidRPr="003101B1">
        <w:rPr>
          <w:lang w:val="en-GB" w:eastAsia="ro-MD"/>
        </w:rPr>
        <w:t>;</w:t>
      </w:r>
    </w:p>
    <w:bookmarkEnd w:id="5"/>
    <w:p w14:paraId="204A6D97" w14:textId="30E65F34" w:rsidR="005829AF" w:rsidRPr="003101B1" w:rsidRDefault="000D658C" w:rsidP="00E0545C">
      <w:pPr>
        <w:jc w:val="both"/>
        <w:rPr>
          <w:lang w:val="en-GB" w:eastAsia="ro-MD"/>
        </w:rPr>
      </w:pPr>
      <w:r w:rsidRPr="003101B1">
        <w:rPr>
          <w:b/>
          <w:bCs/>
          <w:lang w:val="en-GB" w:eastAsia="ro-MD"/>
        </w:rPr>
        <w:t xml:space="preserve">specialised debt restructurer </w:t>
      </w:r>
      <w:r w:rsidRPr="003101B1">
        <w:rPr>
          <w:lang w:val="en-GB" w:eastAsia="ro-MD"/>
        </w:rPr>
        <w:t>- a bank that, during the previous financial year, met all of the following conditions on both an individual and a consolidated basis</w:t>
      </w:r>
      <w:r w:rsidR="005829AF" w:rsidRPr="003101B1">
        <w:rPr>
          <w:lang w:val="en-GB" w:eastAsia="ro-MD"/>
        </w:rPr>
        <w:t>:</w:t>
      </w:r>
    </w:p>
    <w:p w14:paraId="625AEF6D" w14:textId="2A94C60B" w:rsidR="005829AF" w:rsidRPr="003101B1" w:rsidRDefault="005829AF" w:rsidP="00E0545C">
      <w:pPr>
        <w:jc w:val="both"/>
        <w:rPr>
          <w:lang w:val="en-GB" w:eastAsia="ro-MD"/>
        </w:rPr>
      </w:pPr>
      <w:r w:rsidRPr="003101B1">
        <w:rPr>
          <w:lang w:val="en-GB" w:eastAsia="ro-MD"/>
        </w:rPr>
        <w:t xml:space="preserve">1) </w:t>
      </w:r>
      <w:r w:rsidR="000D658C" w:rsidRPr="003101B1">
        <w:rPr>
          <w:lang w:val="en-GB" w:eastAsia="ro-MD"/>
        </w:rPr>
        <w:t>the bank’s core business is the acquisition, management and restructuring of non-performing exposures in accordance with a clear and effective internal decision-making process implemented by its governing body</w:t>
      </w:r>
      <w:r w:rsidRPr="003101B1">
        <w:rPr>
          <w:lang w:val="en-GB" w:eastAsia="ro-MD"/>
        </w:rPr>
        <w:t>;</w:t>
      </w:r>
    </w:p>
    <w:p w14:paraId="55A023EE" w14:textId="3FD98CC3" w:rsidR="005829AF" w:rsidRPr="003101B1" w:rsidRDefault="005829AF" w:rsidP="00E0545C">
      <w:pPr>
        <w:jc w:val="both"/>
        <w:rPr>
          <w:lang w:val="en-GB" w:eastAsia="ro-MD"/>
        </w:rPr>
      </w:pPr>
      <w:r w:rsidRPr="003101B1">
        <w:rPr>
          <w:lang w:val="en-GB" w:eastAsia="ro-MD"/>
        </w:rPr>
        <w:t xml:space="preserve">2) </w:t>
      </w:r>
      <w:r w:rsidR="000D658C" w:rsidRPr="003101B1">
        <w:rPr>
          <w:lang w:val="en-GB" w:eastAsia="ro-MD"/>
        </w:rPr>
        <w:t>the accounting value determined without taking into account any credit risk adjustments of its own loans granted does not exceed 15 % of its total assets</w:t>
      </w:r>
      <w:r w:rsidRPr="003101B1">
        <w:rPr>
          <w:lang w:val="en-GB" w:eastAsia="ro-MD"/>
        </w:rPr>
        <w:t>;</w:t>
      </w:r>
    </w:p>
    <w:p w14:paraId="7B8F3A8C" w14:textId="2418247B" w:rsidR="005829AF" w:rsidRPr="003101B1" w:rsidRDefault="005829AF" w:rsidP="00E0545C">
      <w:pPr>
        <w:jc w:val="both"/>
        <w:rPr>
          <w:lang w:val="en-GB" w:eastAsia="ro-MD"/>
        </w:rPr>
      </w:pPr>
      <w:r w:rsidRPr="003101B1">
        <w:rPr>
          <w:lang w:val="en-GB" w:eastAsia="ro-MD"/>
        </w:rPr>
        <w:t xml:space="preserve">3) </w:t>
      </w:r>
      <w:r w:rsidR="000D658C" w:rsidRPr="003101B1">
        <w:rPr>
          <w:lang w:val="en-GB" w:eastAsia="ro-MD"/>
        </w:rPr>
        <w:t>at least 5 % of the accounting value determined without taking into account any credit risk adjustments of its own loans originated constitutes a total or partial refinancing or adjustment of relevant terms or of purchased non-performing exposures that qualify as a restructuring measure due to financial distress in accordance with paragraphs</w:t>
      </w:r>
      <w:r w:rsidRPr="003101B1">
        <w:rPr>
          <w:lang w:val="en-GB" w:eastAsia="ro-MD"/>
        </w:rPr>
        <w:t xml:space="preserve"> 67</w:t>
      </w:r>
      <w:r w:rsidRPr="003101B1">
        <w:rPr>
          <w:vertAlign w:val="superscript"/>
          <w:lang w:val="en-GB" w:eastAsia="ro-MD"/>
        </w:rPr>
        <w:t>13</w:t>
      </w:r>
      <w:r w:rsidRPr="003101B1">
        <w:rPr>
          <w:lang w:val="en-GB" w:eastAsia="ro-MD"/>
        </w:rPr>
        <w:t>-67</w:t>
      </w:r>
      <w:r w:rsidRPr="003101B1">
        <w:rPr>
          <w:vertAlign w:val="superscript"/>
          <w:lang w:val="en-GB" w:eastAsia="ro-MD"/>
        </w:rPr>
        <w:t>16</w:t>
      </w:r>
      <w:r w:rsidRPr="003101B1">
        <w:rPr>
          <w:lang w:val="en-GB" w:eastAsia="ro-MD"/>
        </w:rPr>
        <w:t>;</w:t>
      </w:r>
    </w:p>
    <w:p w14:paraId="40C60BF0" w14:textId="61027FF2" w:rsidR="005829AF" w:rsidRPr="003101B1" w:rsidRDefault="005829AF" w:rsidP="00E0545C">
      <w:pPr>
        <w:jc w:val="both"/>
        <w:rPr>
          <w:lang w:val="en-GB" w:eastAsia="ro-MD"/>
        </w:rPr>
      </w:pPr>
      <w:r w:rsidRPr="003101B1">
        <w:rPr>
          <w:lang w:val="en-GB" w:eastAsia="ro-MD"/>
        </w:rPr>
        <w:t xml:space="preserve">4) </w:t>
      </w:r>
      <w:r w:rsidR="000D658C" w:rsidRPr="003101B1">
        <w:rPr>
          <w:lang w:val="en-GB" w:eastAsia="ro-MD"/>
        </w:rPr>
        <w:t>the total value of the bank’s assets does not exceed the MDL equivalent of EUR 20 billion</w:t>
      </w:r>
      <w:r w:rsidRPr="003101B1">
        <w:rPr>
          <w:lang w:val="en-GB" w:eastAsia="ro-MD"/>
        </w:rPr>
        <w:t>;</w:t>
      </w:r>
    </w:p>
    <w:p w14:paraId="08C4D26E" w14:textId="3C06A564" w:rsidR="005829AF" w:rsidRPr="003101B1" w:rsidRDefault="005829AF" w:rsidP="00E0545C">
      <w:pPr>
        <w:jc w:val="both"/>
        <w:rPr>
          <w:lang w:val="en-GB" w:eastAsia="ro-MD"/>
        </w:rPr>
      </w:pPr>
      <w:r w:rsidRPr="003101B1">
        <w:rPr>
          <w:lang w:val="en-GB" w:eastAsia="ro-MD"/>
        </w:rPr>
        <w:t xml:space="preserve">5) </w:t>
      </w:r>
      <w:r w:rsidR="000D658C" w:rsidRPr="003101B1">
        <w:rPr>
          <w:lang w:val="en-GB" w:eastAsia="ro-MD"/>
        </w:rPr>
        <w:t>the bank shall maintain at all times a net stable funding ratio of at least 130%;</w:t>
      </w:r>
    </w:p>
    <w:p w14:paraId="317CCEAD" w14:textId="77777777" w:rsidR="000D658C" w:rsidRPr="003101B1" w:rsidRDefault="005829AF" w:rsidP="000D658C">
      <w:pPr>
        <w:jc w:val="both"/>
        <w:rPr>
          <w:lang w:val="en-GB" w:eastAsia="ro-MD"/>
        </w:rPr>
      </w:pPr>
      <w:r w:rsidRPr="003101B1">
        <w:rPr>
          <w:lang w:val="en-GB" w:eastAsia="ro-MD"/>
        </w:rPr>
        <w:t xml:space="preserve">6) </w:t>
      </w:r>
      <w:r w:rsidR="000D658C" w:rsidRPr="003101B1">
        <w:rPr>
          <w:lang w:val="en-GB" w:eastAsia="ro-MD"/>
        </w:rPr>
        <w:t>the bank’s demand deposits do not exceed 5 % of the bank’s total liabilities.</w:t>
      </w:r>
    </w:p>
    <w:p w14:paraId="3CF3EB62" w14:textId="67621AE4" w:rsidR="000D7FD4" w:rsidRPr="003101B1" w:rsidRDefault="000D658C" w:rsidP="000D658C">
      <w:pPr>
        <w:jc w:val="both"/>
        <w:rPr>
          <w:lang w:val="en-GB" w:eastAsia="ro-MD"/>
        </w:rPr>
      </w:pPr>
      <w:r w:rsidRPr="003101B1">
        <w:rPr>
          <w:lang w:val="en-GB" w:eastAsia="ro-MD"/>
        </w:rPr>
        <w:t>The specialised debt restructurer shall immediately inform the National Bank of Moldova in writing if one or more of the mentioned conditions are no longer met</w:t>
      </w:r>
      <w:r w:rsidR="004449F6" w:rsidRPr="003101B1">
        <w:rPr>
          <w:lang w:val="en-GB" w:eastAsia="ro-MD"/>
        </w:rPr>
        <w:t>;</w:t>
      </w:r>
    </w:p>
    <w:p w14:paraId="1A7C0435" w14:textId="5BA9CE00" w:rsidR="005829AF" w:rsidRPr="003101B1" w:rsidRDefault="000B197D" w:rsidP="005829AF">
      <w:pPr>
        <w:tabs>
          <w:tab w:val="left" w:pos="567"/>
          <w:tab w:val="left" w:pos="851"/>
        </w:tabs>
        <w:jc w:val="both"/>
        <w:rPr>
          <w:lang w:val="en-GB"/>
        </w:rPr>
      </w:pPr>
      <w:r w:rsidRPr="003101B1">
        <w:rPr>
          <w:b/>
          <w:bCs/>
          <w:lang w:val="en-GB" w:eastAsia="ro-MD"/>
        </w:rPr>
        <w:t xml:space="preserve">resolution group </w:t>
      </w:r>
      <w:r w:rsidRPr="003101B1">
        <w:rPr>
          <w:lang w:val="en-GB" w:eastAsia="ro-MD"/>
        </w:rPr>
        <w:t>- a resolution group as defined in Law No 232/2016</w:t>
      </w:r>
      <w:bookmarkEnd w:id="6"/>
      <w:r w:rsidR="000D7FD4" w:rsidRPr="003101B1">
        <w:rPr>
          <w:lang w:val="en-GB" w:eastAsia="ro-MD"/>
        </w:rPr>
        <w:t>;</w:t>
      </w:r>
      <w:r w:rsidR="005829AF" w:rsidRPr="003101B1">
        <w:rPr>
          <w:lang w:val="en-GB" w:eastAsia="ro-MD"/>
        </w:rPr>
        <w:t>”.</w:t>
      </w:r>
    </w:p>
    <w:p w14:paraId="5759511E" w14:textId="3ED5A2BF" w:rsidR="001370D8" w:rsidRPr="003101B1" w:rsidRDefault="000B197D" w:rsidP="00E0545C">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The title of Chapter II shall be supplemented by the words “</w:t>
      </w:r>
      <w:bookmarkStart w:id="7" w:name="_Hlk227938650"/>
      <w:r w:rsidRPr="003101B1">
        <w:rPr>
          <w:lang w:val="en-GB"/>
        </w:rPr>
        <w:t xml:space="preserve">AND ELIGIBLE </w:t>
      </w:r>
      <w:bookmarkEnd w:id="7"/>
      <w:r w:rsidR="002326A6">
        <w:rPr>
          <w:lang w:val="en-GB"/>
        </w:rPr>
        <w:t>LIABILITIES</w:t>
      </w:r>
      <w:r w:rsidR="001370D8" w:rsidRPr="003101B1">
        <w:rPr>
          <w:lang w:val="en-GB"/>
        </w:rPr>
        <w:t>”.</w:t>
      </w:r>
    </w:p>
    <w:p w14:paraId="018DE6DA" w14:textId="6D8B341F" w:rsidR="00D92F73" w:rsidRPr="003101B1" w:rsidRDefault="000B197D" w:rsidP="00E0545C">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 xml:space="preserve">In paragraph 7, the text “26-29” shall be replaced by the text </w:t>
      </w:r>
      <w:r w:rsidR="001E25C6">
        <w:rPr>
          <w:lang w:val="en-GB"/>
        </w:rPr>
        <w:t>“</w:t>
      </w:r>
      <w:r w:rsidR="00D92F73" w:rsidRPr="003101B1">
        <w:rPr>
          <w:lang w:val="en-GB"/>
        </w:rPr>
        <w:t>25</w:t>
      </w:r>
      <w:r w:rsidR="00D92F73" w:rsidRPr="003101B1">
        <w:rPr>
          <w:vertAlign w:val="superscript"/>
          <w:lang w:val="en-GB"/>
        </w:rPr>
        <w:t>1</w:t>
      </w:r>
      <w:r w:rsidR="00056B6B" w:rsidRPr="003101B1">
        <w:rPr>
          <w:lang w:val="en-GB"/>
        </w:rPr>
        <w:t>-29</w:t>
      </w:r>
      <w:r w:rsidR="00D92F73" w:rsidRPr="003101B1">
        <w:rPr>
          <w:lang w:val="en-GB"/>
        </w:rPr>
        <w:t>”.</w:t>
      </w:r>
    </w:p>
    <w:p w14:paraId="289DD311" w14:textId="60E6DB9F" w:rsidR="00A35D32" w:rsidRPr="003101B1" w:rsidRDefault="000B197D" w:rsidP="00E0545C">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paragraph</w:t>
      </w:r>
      <w:r w:rsidR="00A35D32" w:rsidRPr="003101B1">
        <w:rPr>
          <w:lang w:val="en-GB"/>
        </w:rPr>
        <w:t xml:space="preserve"> 9</w:t>
      </w:r>
      <w:r w:rsidR="00A35D32" w:rsidRPr="003101B1">
        <w:rPr>
          <w:vertAlign w:val="superscript"/>
          <w:lang w:val="en-GB"/>
        </w:rPr>
        <w:t>1</w:t>
      </w:r>
      <w:r w:rsidR="00A35D32" w:rsidRPr="003101B1">
        <w:rPr>
          <w:lang w:val="en-GB"/>
        </w:rPr>
        <w:t xml:space="preserve"> </w:t>
      </w:r>
      <w:r w:rsidRPr="003101B1">
        <w:rPr>
          <w:lang w:val="en-GB"/>
        </w:rPr>
        <w:t>shall be added with the following content</w:t>
      </w:r>
      <w:r w:rsidR="00A35D32" w:rsidRPr="003101B1">
        <w:rPr>
          <w:lang w:val="en-GB"/>
        </w:rPr>
        <w:t>:</w:t>
      </w:r>
    </w:p>
    <w:p w14:paraId="431803B0" w14:textId="59056953" w:rsidR="00A35D32" w:rsidRPr="003101B1" w:rsidRDefault="000B197D" w:rsidP="00662472">
      <w:pPr>
        <w:tabs>
          <w:tab w:val="left" w:pos="567"/>
          <w:tab w:val="left" w:pos="851"/>
        </w:tabs>
        <w:jc w:val="both"/>
        <w:rPr>
          <w:lang w:val="en-GB"/>
        </w:rPr>
      </w:pPr>
      <w:r w:rsidRPr="003101B1">
        <w:rPr>
          <w:lang w:val="en-GB"/>
        </w:rPr>
        <w:t>“</w:t>
      </w:r>
      <w:r w:rsidR="00A35D32" w:rsidRPr="003101B1">
        <w:rPr>
          <w:b/>
          <w:bCs/>
          <w:lang w:val="en-GB"/>
        </w:rPr>
        <w:t>9</w:t>
      </w:r>
      <w:r w:rsidR="00A35D32" w:rsidRPr="003101B1">
        <w:rPr>
          <w:b/>
          <w:bCs/>
          <w:vertAlign w:val="superscript"/>
          <w:lang w:val="en-GB"/>
        </w:rPr>
        <w:t>1</w:t>
      </w:r>
      <w:r w:rsidR="00A35D32" w:rsidRPr="003101B1">
        <w:rPr>
          <w:b/>
          <w:bCs/>
          <w:lang w:val="en-GB"/>
        </w:rPr>
        <w:t>.</w:t>
      </w:r>
      <w:r w:rsidR="00A35D32" w:rsidRPr="003101B1">
        <w:rPr>
          <w:lang w:val="en-GB"/>
        </w:rPr>
        <w:t xml:space="preserve"> </w:t>
      </w:r>
      <w:bookmarkStart w:id="8" w:name="_Hlk227938844"/>
      <w:r w:rsidRPr="003101B1">
        <w:rPr>
          <w:lang w:val="en-GB"/>
        </w:rPr>
        <w:t xml:space="preserve">The own funds and eligible liabilities of a bank consist of the sum of its own funds and eligible liabilities after applying the deductions in paragraph </w:t>
      </w:r>
      <w:r w:rsidR="00A35D32" w:rsidRPr="003101B1">
        <w:rPr>
          <w:lang w:val="en-GB"/>
        </w:rPr>
        <w:t>109</w:t>
      </w:r>
      <w:r w:rsidR="00A35D32" w:rsidRPr="003101B1">
        <w:rPr>
          <w:vertAlign w:val="superscript"/>
          <w:lang w:val="en-GB"/>
        </w:rPr>
        <w:t>21</w:t>
      </w:r>
      <w:bookmarkEnd w:id="8"/>
      <w:r w:rsidR="00A35D32" w:rsidRPr="003101B1">
        <w:rPr>
          <w:lang w:val="en-GB"/>
        </w:rPr>
        <w:t>.”.</w:t>
      </w:r>
    </w:p>
    <w:p w14:paraId="3D0603DF" w14:textId="1A83C59E" w:rsidR="003F245D" w:rsidRPr="003101B1" w:rsidRDefault="000B197D" w:rsidP="00E0545C">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Paragraph</w:t>
      </w:r>
      <w:r w:rsidR="003F245D" w:rsidRPr="003101B1">
        <w:rPr>
          <w:lang w:val="en-GB"/>
        </w:rPr>
        <w:t xml:space="preserve"> 16</w:t>
      </w:r>
      <w:r w:rsidR="003F245D" w:rsidRPr="003101B1">
        <w:rPr>
          <w:vertAlign w:val="superscript"/>
          <w:lang w:val="en-GB"/>
        </w:rPr>
        <w:t>1</w:t>
      </w:r>
      <w:r w:rsidR="003F245D" w:rsidRPr="003101B1">
        <w:rPr>
          <w:lang w:val="en-GB"/>
        </w:rPr>
        <w:t xml:space="preserve"> </w:t>
      </w:r>
      <w:r w:rsidRPr="003101B1">
        <w:rPr>
          <w:lang w:val="en-GB"/>
        </w:rPr>
        <w:t>shall be added</w:t>
      </w:r>
      <w:r w:rsidR="003F245D" w:rsidRPr="003101B1">
        <w:rPr>
          <w:lang w:val="en-GB"/>
        </w:rPr>
        <w:t>:</w:t>
      </w:r>
    </w:p>
    <w:p w14:paraId="4DE7FC3B" w14:textId="1249ED37" w:rsidR="003F245D" w:rsidRPr="003101B1" w:rsidRDefault="000B197D" w:rsidP="00F332FF">
      <w:pPr>
        <w:tabs>
          <w:tab w:val="left" w:pos="567"/>
          <w:tab w:val="left" w:pos="851"/>
        </w:tabs>
        <w:jc w:val="both"/>
        <w:rPr>
          <w:lang w:val="en-GB"/>
        </w:rPr>
      </w:pPr>
      <w:r w:rsidRPr="003101B1">
        <w:rPr>
          <w:lang w:val="en-GB"/>
        </w:rPr>
        <w:t>“</w:t>
      </w:r>
      <w:r w:rsidR="003F245D" w:rsidRPr="003101B1">
        <w:rPr>
          <w:b/>
          <w:bCs/>
          <w:lang w:val="en-GB" w:eastAsia="ro-MD"/>
        </w:rPr>
        <w:t>16</w:t>
      </w:r>
      <w:r w:rsidR="003F245D" w:rsidRPr="003101B1">
        <w:rPr>
          <w:b/>
          <w:bCs/>
          <w:vertAlign w:val="superscript"/>
          <w:lang w:val="en-GB" w:eastAsia="ro-MD"/>
        </w:rPr>
        <w:t>1</w:t>
      </w:r>
      <w:r w:rsidR="003F245D" w:rsidRPr="003101B1">
        <w:rPr>
          <w:b/>
          <w:bCs/>
          <w:lang w:val="en-GB" w:eastAsia="ro-MD"/>
        </w:rPr>
        <w:t>.</w:t>
      </w:r>
      <w:r w:rsidR="003F245D" w:rsidRPr="003101B1">
        <w:rPr>
          <w:lang w:val="en-GB" w:eastAsia="ro-MD"/>
        </w:rPr>
        <w:t xml:space="preserve"> </w:t>
      </w:r>
      <w:bookmarkStart w:id="9" w:name="_Hlk227938913"/>
      <w:r w:rsidRPr="003101B1">
        <w:rPr>
          <w:lang w:val="en-GB" w:eastAsia="ro-MD"/>
        </w:rPr>
        <w:t>For the purposes of paragraph16 sub-paragraph 2), only the part of a capital instrument that has been fully paid up shall be eligible to qualify as a Common Equity Tier 1 instrument</w:t>
      </w:r>
      <w:bookmarkEnd w:id="9"/>
      <w:r w:rsidR="003F245D" w:rsidRPr="003101B1">
        <w:rPr>
          <w:lang w:val="en-GB" w:eastAsia="ro-MD"/>
        </w:rPr>
        <w:t>.”.</w:t>
      </w:r>
    </w:p>
    <w:p w14:paraId="01B7510F" w14:textId="6D63BA57" w:rsidR="003F245D" w:rsidRPr="003101B1" w:rsidRDefault="000B197D" w:rsidP="003F245D">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Paragraphs</w:t>
      </w:r>
      <w:r w:rsidR="003F245D" w:rsidRPr="003101B1">
        <w:rPr>
          <w:lang w:val="en-GB"/>
        </w:rPr>
        <w:t xml:space="preserve"> 19</w:t>
      </w:r>
      <w:r w:rsidR="003F245D" w:rsidRPr="003101B1">
        <w:rPr>
          <w:vertAlign w:val="superscript"/>
          <w:lang w:val="en-GB"/>
        </w:rPr>
        <w:t>1</w:t>
      </w:r>
      <w:r w:rsidR="003F245D" w:rsidRPr="003101B1">
        <w:rPr>
          <w:lang w:val="en-GB"/>
        </w:rPr>
        <w:t xml:space="preserve"> </w:t>
      </w:r>
      <w:r w:rsidRPr="003101B1">
        <w:rPr>
          <w:lang w:val="en-GB"/>
        </w:rPr>
        <w:t>and</w:t>
      </w:r>
      <w:r w:rsidR="003F245D" w:rsidRPr="003101B1">
        <w:rPr>
          <w:lang w:val="en-GB"/>
        </w:rPr>
        <w:t xml:space="preserve"> 19</w:t>
      </w:r>
      <w:r w:rsidR="003F245D" w:rsidRPr="003101B1">
        <w:rPr>
          <w:vertAlign w:val="superscript"/>
          <w:lang w:val="en-GB"/>
        </w:rPr>
        <w:t>2</w:t>
      </w:r>
      <w:r w:rsidR="003F245D" w:rsidRPr="003101B1">
        <w:rPr>
          <w:lang w:val="en-GB"/>
        </w:rPr>
        <w:t xml:space="preserve"> </w:t>
      </w:r>
      <w:r w:rsidRPr="003101B1">
        <w:rPr>
          <w:lang w:val="en-GB"/>
        </w:rPr>
        <w:t>shall be added with the following content</w:t>
      </w:r>
      <w:r w:rsidR="003F245D" w:rsidRPr="003101B1">
        <w:rPr>
          <w:lang w:val="en-GB"/>
        </w:rPr>
        <w:t>:</w:t>
      </w:r>
    </w:p>
    <w:p w14:paraId="46D2A202" w14:textId="45176CD2" w:rsidR="006D140B" w:rsidRPr="003101B1" w:rsidRDefault="000B197D" w:rsidP="00CA1F4A">
      <w:pPr>
        <w:jc w:val="both"/>
        <w:rPr>
          <w:lang w:val="en-GB" w:eastAsia="ro-MD"/>
        </w:rPr>
      </w:pPr>
      <w:r w:rsidRPr="003101B1">
        <w:rPr>
          <w:lang w:val="en-GB"/>
        </w:rPr>
        <w:t>“</w:t>
      </w:r>
      <w:r w:rsidR="006D140B" w:rsidRPr="003101B1">
        <w:rPr>
          <w:b/>
          <w:bCs/>
          <w:lang w:val="en-GB" w:eastAsia="ro-MD"/>
        </w:rPr>
        <w:t>19</w:t>
      </w:r>
      <w:r w:rsidR="006D140B" w:rsidRPr="003101B1">
        <w:rPr>
          <w:b/>
          <w:bCs/>
          <w:vertAlign w:val="superscript"/>
          <w:lang w:val="en-GB" w:eastAsia="ro-MD"/>
        </w:rPr>
        <w:t>1</w:t>
      </w:r>
      <w:r w:rsidR="006D140B" w:rsidRPr="003101B1">
        <w:rPr>
          <w:b/>
          <w:bCs/>
          <w:lang w:val="en-GB" w:eastAsia="ro-MD"/>
        </w:rPr>
        <w:t>.</w:t>
      </w:r>
      <w:r w:rsidR="006D140B" w:rsidRPr="003101B1">
        <w:rPr>
          <w:lang w:val="en-GB" w:eastAsia="ro-MD"/>
        </w:rPr>
        <w:t xml:space="preserve"> </w:t>
      </w:r>
      <w:bookmarkStart w:id="10" w:name="_Hlk227939109"/>
      <w:r w:rsidR="0051527B" w:rsidRPr="003101B1">
        <w:rPr>
          <w:lang w:val="en-GB" w:eastAsia="ro-MD"/>
        </w:rPr>
        <w:t>The condition set out in paragraph 16 sub-paragraph 8) letter e) is deemed to be met notwithstanding the fact that a subsidiary is subject to a profit and loss transfer agreement with its parent undertaking, according to which the subsidiary is obliged to transfer, as a result of the preparation of its annual financial statements, its annual result to the parent undertaking, where all of the following conditions are met</w:t>
      </w:r>
      <w:r w:rsidR="006D140B" w:rsidRPr="003101B1">
        <w:rPr>
          <w:lang w:val="en-GB" w:eastAsia="ro-MD"/>
        </w:rPr>
        <w:t>:</w:t>
      </w:r>
    </w:p>
    <w:p w14:paraId="199DFE8C" w14:textId="537145E8" w:rsidR="006D140B" w:rsidRPr="003101B1" w:rsidRDefault="006D140B" w:rsidP="0065180E">
      <w:pPr>
        <w:jc w:val="both"/>
        <w:rPr>
          <w:lang w:val="en-GB" w:eastAsia="ro-MD"/>
        </w:rPr>
      </w:pPr>
      <w:r w:rsidRPr="003101B1">
        <w:rPr>
          <w:lang w:val="en-GB" w:eastAsia="ro-MD"/>
        </w:rPr>
        <w:t xml:space="preserve">1) </w:t>
      </w:r>
      <w:r w:rsidR="0051527B" w:rsidRPr="003101B1">
        <w:rPr>
          <w:lang w:val="en-GB" w:eastAsia="ro-MD"/>
        </w:rPr>
        <w:t>the parent undertaking holds 90% or more of the voting rights and capital of the subsidiary</w:t>
      </w:r>
      <w:r w:rsidRPr="003101B1">
        <w:rPr>
          <w:lang w:val="en-GB" w:eastAsia="ro-MD"/>
        </w:rPr>
        <w:t>;</w:t>
      </w:r>
    </w:p>
    <w:p w14:paraId="5D3AEFD7" w14:textId="6667AD80" w:rsidR="006D140B" w:rsidRPr="003101B1" w:rsidRDefault="006D140B" w:rsidP="0065180E">
      <w:pPr>
        <w:jc w:val="both"/>
        <w:rPr>
          <w:lang w:val="en-GB" w:eastAsia="ro-MD"/>
        </w:rPr>
      </w:pPr>
      <w:r w:rsidRPr="003101B1">
        <w:rPr>
          <w:lang w:val="en-GB" w:eastAsia="ro-MD"/>
        </w:rPr>
        <w:t>2</w:t>
      </w:r>
      <w:r w:rsidR="0051527B" w:rsidRPr="003101B1">
        <w:rPr>
          <w:lang w:val="en-GB" w:eastAsia="ro-MD"/>
        </w:rPr>
        <w:t>the parent undertaking and the subsidiary are located in the Republic of Moldova or the same Member State of the European Union</w:t>
      </w:r>
      <w:r w:rsidRPr="003101B1">
        <w:rPr>
          <w:lang w:val="en-GB" w:eastAsia="ro-MD"/>
        </w:rPr>
        <w:t>;</w:t>
      </w:r>
    </w:p>
    <w:p w14:paraId="390FE0AD" w14:textId="201B565F" w:rsidR="006D140B" w:rsidRPr="003101B1" w:rsidRDefault="006D140B" w:rsidP="0065180E">
      <w:pPr>
        <w:jc w:val="both"/>
        <w:rPr>
          <w:lang w:val="en-GB" w:eastAsia="ro-MD"/>
        </w:rPr>
      </w:pPr>
      <w:r w:rsidRPr="003101B1">
        <w:rPr>
          <w:lang w:val="en-GB" w:eastAsia="ro-MD"/>
        </w:rPr>
        <w:t xml:space="preserve">3) </w:t>
      </w:r>
      <w:r w:rsidR="00F47B3B" w:rsidRPr="003101B1">
        <w:rPr>
          <w:lang w:val="en-GB" w:eastAsia="ro-MD"/>
        </w:rPr>
        <w:t>the agreement was concluded for taxation purposes</w:t>
      </w:r>
      <w:r w:rsidRPr="003101B1">
        <w:rPr>
          <w:lang w:val="en-GB" w:eastAsia="ro-MD"/>
        </w:rPr>
        <w:t>;</w:t>
      </w:r>
    </w:p>
    <w:p w14:paraId="312B10F5" w14:textId="6A2A3AC3" w:rsidR="006D140B" w:rsidRPr="003101B1" w:rsidRDefault="006D140B" w:rsidP="0065180E">
      <w:pPr>
        <w:jc w:val="both"/>
        <w:rPr>
          <w:lang w:val="en-GB" w:eastAsia="ro-MD"/>
        </w:rPr>
      </w:pPr>
      <w:r w:rsidRPr="003101B1">
        <w:rPr>
          <w:lang w:val="en-GB" w:eastAsia="ro-MD"/>
        </w:rPr>
        <w:t xml:space="preserve">4) </w:t>
      </w:r>
      <w:r w:rsidR="003D33BC" w:rsidRPr="003101B1">
        <w:rPr>
          <w:lang w:val="en-GB" w:eastAsia="ro-MD"/>
        </w:rPr>
        <w:t>when preparing its annual financial statement, the subsidiary has discretion to reduce the amount of distributions by allocating all or part of its profits to its own reserves or funds for general banking risks before making any payment to its parent</w:t>
      </w:r>
      <w:r w:rsidRPr="003101B1">
        <w:rPr>
          <w:lang w:val="en-GB" w:eastAsia="ro-MD"/>
        </w:rPr>
        <w:t>;</w:t>
      </w:r>
    </w:p>
    <w:p w14:paraId="5C36651D" w14:textId="236B33A6" w:rsidR="006D140B" w:rsidRPr="003101B1" w:rsidRDefault="006D140B" w:rsidP="0065180E">
      <w:pPr>
        <w:jc w:val="both"/>
        <w:rPr>
          <w:lang w:val="en-GB" w:eastAsia="ro-MD"/>
        </w:rPr>
      </w:pPr>
      <w:r w:rsidRPr="003101B1">
        <w:rPr>
          <w:lang w:val="en-GB" w:eastAsia="ro-MD"/>
        </w:rPr>
        <w:t xml:space="preserve">5) </w:t>
      </w:r>
      <w:r w:rsidR="003D33BC" w:rsidRPr="003101B1">
        <w:rPr>
          <w:lang w:val="en-GB" w:eastAsia="ro-MD"/>
        </w:rPr>
        <w:t>the parent company is obliged under the agreement to fully indemnify the subsidiary for all losses of the latter</w:t>
      </w:r>
      <w:r w:rsidRPr="003101B1">
        <w:rPr>
          <w:lang w:val="en-GB" w:eastAsia="ro-MD"/>
        </w:rPr>
        <w:t>;</w:t>
      </w:r>
    </w:p>
    <w:p w14:paraId="2DD1E8C5" w14:textId="7E045EBB" w:rsidR="006D140B" w:rsidRPr="003101B1" w:rsidRDefault="006D140B" w:rsidP="0065180E">
      <w:pPr>
        <w:jc w:val="both"/>
        <w:rPr>
          <w:lang w:val="en-GB" w:eastAsia="ro-MD"/>
        </w:rPr>
      </w:pPr>
      <w:r w:rsidRPr="003101B1">
        <w:rPr>
          <w:lang w:val="en-GB" w:eastAsia="ro-MD"/>
        </w:rPr>
        <w:t xml:space="preserve">6) </w:t>
      </w:r>
      <w:r w:rsidR="00A86A74" w:rsidRPr="003101B1">
        <w:rPr>
          <w:lang w:val="en-GB" w:eastAsia="ro-MD"/>
        </w:rPr>
        <w:t>the agreement is subject to a notice period according to which the agreement can only be terminated by the end of a financial year, with the termination taking effect at the earliest at the beginning of the following financial year, without affecting the parent undertaking’s obligation to fully compensate the subsidiary for all losses incurred during the current financial year</w:t>
      </w:r>
      <w:bookmarkEnd w:id="10"/>
      <w:r w:rsidRPr="003101B1">
        <w:rPr>
          <w:lang w:val="en-GB" w:eastAsia="ro-MD"/>
        </w:rPr>
        <w:t>.</w:t>
      </w:r>
    </w:p>
    <w:p w14:paraId="6A57868B" w14:textId="047F9B0D" w:rsidR="006D140B" w:rsidRPr="003101B1" w:rsidRDefault="006D140B" w:rsidP="006D140B">
      <w:pPr>
        <w:tabs>
          <w:tab w:val="left" w:pos="567"/>
          <w:tab w:val="left" w:pos="851"/>
        </w:tabs>
        <w:spacing w:before="80"/>
        <w:jc w:val="both"/>
        <w:rPr>
          <w:lang w:val="en-GB"/>
        </w:rPr>
      </w:pPr>
      <w:r w:rsidRPr="003101B1">
        <w:rPr>
          <w:b/>
          <w:bCs/>
          <w:lang w:val="en-GB" w:eastAsia="ro-MD"/>
        </w:rPr>
        <w:t>19</w:t>
      </w:r>
      <w:r w:rsidRPr="003101B1">
        <w:rPr>
          <w:b/>
          <w:bCs/>
          <w:vertAlign w:val="superscript"/>
          <w:lang w:val="en-GB" w:eastAsia="ro-MD"/>
        </w:rPr>
        <w:t>2</w:t>
      </w:r>
      <w:r w:rsidRPr="003101B1">
        <w:rPr>
          <w:b/>
          <w:bCs/>
          <w:lang w:val="en-GB" w:eastAsia="ro-MD"/>
        </w:rPr>
        <w:t>.</w:t>
      </w:r>
      <w:r w:rsidRPr="003101B1">
        <w:rPr>
          <w:lang w:val="en-GB" w:eastAsia="ro-MD"/>
        </w:rPr>
        <w:t xml:space="preserve"> </w:t>
      </w:r>
      <w:bookmarkStart w:id="11" w:name="_Hlk227939197"/>
      <w:r w:rsidR="00A86A74" w:rsidRPr="003101B1">
        <w:rPr>
          <w:lang w:val="en-GB" w:eastAsia="ro-MD"/>
        </w:rPr>
        <w:t>If the bank has concluded a profit and loss transfer agreement as referred to in paragraph 19</w:t>
      </w:r>
      <w:r w:rsidR="00A86A74" w:rsidRPr="003101B1">
        <w:rPr>
          <w:vertAlign w:val="superscript"/>
          <w:lang w:val="en-GB" w:eastAsia="ro-MD"/>
        </w:rPr>
        <w:t>1</w:t>
      </w:r>
      <w:r w:rsidR="00A86A74" w:rsidRPr="003101B1">
        <w:rPr>
          <w:lang w:val="en-GB" w:eastAsia="ro-MD"/>
        </w:rPr>
        <w:t>, it shall immediately notify the National Bank of Moldova in writing and submit a copy of the agreement. The Bank shall also immediately inform the National Bank of Moldova of any changes to, and termination of, the profit and loss transfer agreement. The Bank shall not enter into more than one profit and loss transfer agreement</w:t>
      </w:r>
      <w:bookmarkEnd w:id="11"/>
      <w:r w:rsidRPr="003101B1">
        <w:rPr>
          <w:lang w:val="en-GB" w:eastAsia="ro-MD"/>
        </w:rPr>
        <w:t>.”.</w:t>
      </w:r>
    </w:p>
    <w:p w14:paraId="187F7C2D" w14:textId="300F33B2" w:rsidR="00CA1F4A" w:rsidRPr="003101B1" w:rsidRDefault="00294FCC" w:rsidP="006D140B">
      <w:pPr>
        <w:pStyle w:val="ListParagraph"/>
        <w:numPr>
          <w:ilvl w:val="1"/>
          <w:numId w:val="27"/>
        </w:numPr>
        <w:tabs>
          <w:tab w:val="left" w:pos="567"/>
          <w:tab w:val="left" w:pos="851"/>
        </w:tabs>
        <w:spacing w:before="80"/>
        <w:ind w:left="0" w:firstLine="567"/>
        <w:contextualSpacing w:val="0"/>
        <w:jc w:val="both"/>
        <w:rPr>
          <w:lang w:val="en-GB"/>
        </w:rPr>
      </w:pPr>
      <w:r w:rsidRPr="003101B1">
        <w:rPr>
          <w:lang w:val="en-GB"/>
        </w:rPr>
        <w:t>Chapter III, Section 1 shall be supplemented with Subsection 21, which reads as follows</w:t>
      </w:r>
      <w:r w:rsidR="00CA1F4A" w:rsidRPr="003101B1">
        <w:rPr>
          <w:lang w:val="en-GB"/>
        </w:rPr>
        <w:t>:</w:t>
      </w:r>
    </w:p>
    <w:p w14:paraId="5E38C10A" w14:textId="4586427D" w:rsidR="00CA1F4A" w:rsidRPr="003101B1" w:rsidRDefault="001A1FF1" w:rsidP="00CA1F4A">
      <w:pPr>
        <w:jc w:val="center"/>
        <w:rPr>
          <w:lang w:val="en-GB" w:eastAsia="ro-MD"/>
        </w:rPr>
      </w:pPr>
      <w:r w:rsidRPr="003101B1">
        <w:rPr>
          <w:lang w:val="en-GB"/>
        </w:rPr>
        <w:t>“</w:t>
      </w:r>
      <w:r w:rsidRPr="003101B1">
        <w:rPr>
          <w:b/>
          <w:bCs/>
          <w:i/>
          <w:iCs/>
          <w:lang w:val="en-GB" w:eastAsia="ro-MD"/>
        </w:rPr>
        <w:t>Subsection</w:t>
      </w:r>
      <w:r w:rsidR="00CA1F4A" w:rsidRPr="003101B1">
        <w:rPr>
          <w:b/>
          <w:bCs/>
          <w:i/>
          <w:iCs/>
          <w:lang w:val="en-GB" w:eastAsia="ro-MD"/>
        </w:rPr>
        <w:t xml:space="preserve"> 2</w:t>
      </w:r>
      <w:r w:rsidR="00CA1F4A" w:rsidRPr="003101B1">
        <w:rPr>
          <w:b/>
          <w:bCs/>
          <w:i/>
          <w:iCs/>
          <w:vertAlign w:val="superscript"/>
          <w:lang w:val="en-GB" w:eastAsia="ro-MD"/>
        </w:rPr>
        <w:t>1</w:t>
      </w:r>
    </w:p>
    <w:p w14:paraId="42527DD1" w14:textId="5E04B031" w:rsidR="00CA1F4A" w:rsidRPr="003101B1" w:rsidRDefault="001A1FF1" w:rsidP="00CA1F4A">
      <w:pPr>
        <w:jc w:val="center"/>
        <w:rPr>
          <w:lang w:val="en-GB" w:eastAsia="ro-MD"/>
        </w:rPr>
      </w:pPr>
      <w:r w:rsidRPr="003101B1">
        <w:rPr>
          <w:b/>
          <w:bCs/>
          <w:i/>
          <w:iCs/>
          <w:lang w:val="en-GB" w:eastAsia="ro-MD"/>
        </w:rPr>
        <w:t>Capital instruments issued by mutuals, cooperative societies, savings institutions or similar institutions under Common Equity Tier 1 items</w:t>
      </w:r>
    </w:p>
    <w:p w14:paraId="71B184F4" w14:textId="05CBC405" w:rsidR="00CA1F4A" w:rsidRPr="003101B1" w:rsidRDefault="00CA1F4A" w:rsidP="00CA1F4A">
      <w:pPr>
        <w:jc w:val="both"/>
        <w:rPr>
          <w:lang w:val="en-GB" w:eastAsia="ro-MD"/>
        </w:rPr>
      </w:pPr>
      <w:r w:rsidRPr="003101B1">
        <w:rPr>
          <w:b/>
          <w:bCs/>
          <w:lang w:val="en-GB" w:eastAsia="ro-MD"/>
        </w:rPr>
        <w:t>23</w:t>
      </w:r>
      <w:r w:rsidRPr="003101B1">
        <w:rPr>
          <w:b/>
          <w:bCs/>
          <w:vertAlign w:val="superscript"/>
          <w:lang w:val="en-GB" w:eastAsia="ro-MD"/>
        </w:rPr>
        <w:t>1</w:t>
      </w:r>
      <w:r w:rsidRPr="003101B1">
        <w:rPr>
          <w:b/>
          <w:bCs/>
          <w:lang w:val="en-GB" w:eastAsia="ro-MD"/>
        </w:rPr>
        <w:t>.</w:t>
      </w:r>
      <w:r w:rsidRPr="003101B1">
        <w:rPr>
          <w:lang w:val="en-GB" w:eastAsia="ro-MD"/>
        </w:rPr>
        <w:t xml:space="preserve"> </w:t>
      </w:r>
      <w:r w:rsidR="000A1329" w:rsidRPr="003101B1">
        <w:rPr>
          <w:lang w:val="en-GB" w:eastAsia="ro-MD"/>
        </w:rPr>
        <w:t>Common Equity Tier 1 items shall include any capital instrument issued by an undertaking in accordance with its statutory provisions where the following conditions are met</w:t>
      </w:r>
      <w:r w:rsidRPr="003101B1">
        <w:rPr>
          <w:lang w:val="en-GB" w:eastAsia="ro-MD"/>
        </w:rPr>
        <w:t>:</w:t>
      </w:r>
    </w:p>
    <w:p w14:paraId="4246702A" w14:textId="1BC412B3" w:rsidR="00CA1F4A" w:rsidRPr="003101B1" w:rsidRDefault="00CA1F4A" w:rsidP="00CA1F4A">
      <w:pPr>
        <w:jc w:val="both"/>
        <w:rPr>
          <w:lang w:val="en-GB" w:eastAsia="ro-MD"/>
        </w:rPr>
      </w:pPr>
      <w:r w:rsidRPr="003101B1">
        <w:rPr>
          <w:lang w:val="en-GB" w:eastAsia="ro-MD"/>
        </w:rPr>
        <w:t xml:space="preserve">1) </w:t>
      </w:r>
      <w:r w:rsidR="000A1329" w:rsidRPr="003101B1">
        <w:rPr>
          <w:lang w:val="en-GB" w:eastAsia="ro-MD"/>
        </w:rPr>
        <w:t>the company is of a type defined under applicable national law and is considered by the competent authorities to qualify as any of the following:</w:t>
      </w:r>
    </w:p>
    <w:p w14:paraId="2349C7E9" w14:textId="36E66055" w:rsidR="00CA1F4A" w:rsidRPr="003101B1" w:rsidRDefault="00CA1F4A" w:rsidP="00CA1F4A">
      <w:pPr>
        <w:jc w:val="both"/>
        <w:rPr>
          <w:lang w:val="en-GB" w:eastAsia="ro-MD"/>
        </w:rPr>
      </w:pPr>
      <w:r w:rsidRPr="003101B1">
        <w:rPr>
          <w:lang w:val="en-GB" w:eastAsia="ro-MD"/>
        </w:rPr>
        <w:t xml:space="preserve">a) </w:t>
      </w:r>
      <w:r w:rsidR="000A1329" w:rsidRPr="003101B1">
        <w:rPr>
          <w:lang w:val="en-GB" w:eastAsia="ro-MD"/>
        </w:rPr>
        <w:t>a mutual</w:t>
      </w:r>
      <w:r w:rsidRPr="003101B1">
        <w:rPr>
          <w:lang w:val="en-GB" w:eastAsia="ro-MD"/>
        </w:rPr>
        <w:t>;</w:t>
      </w:r>
    </w:p>
    <w:p w14:paraId="60870883" w14:textId="65731F61" w:rsidR="00CA1F4A" w:rsidRPr="003101B1" w:rsidRDefault="00CA1F4A" w:rsidP="00CA1F4A">
      <w:pPr>
        <w:jc w:val="both"/>
        <w:rPr>
          <w:lang w:val="en-GB" w:eastAsia="ro-MD"/>
        </w:rPr>
      </w:pPr>
      <w:r w:rsidRPr="003101B1">
        <w:rPr>
          <w:lang w:val="en-GB" w:eastAsia="ro-MD"/>
        </w:rPr>
        <w:t xml:space="preserve">b) </w:t>
      </w:r>
      <w:r w:rsidR="000A1329" w:rsidRPr="003101B1">
        <w:rPr>
          <w:lang w:val="en-GB" w:eastAsia="ro-MD"/>
        </w:rPr>
        <w:t>a cooperative society</w:t>
      </w:r>
      <w:r w:rsidRPr="003101B1">
        <w:rPr>
          <w:lang w:val="en-GB" w:eastAsia="ro-MD"/>
        </w:rPr>
        <w:t>;</w:t>
      </w:r>
    </w:p>
    <w:p w14:paraId="375E85BF" w14:textId="43AA0EBF" w:rsidR="00CA1F4A" w:rsidRPr="003101B1" w:rsidRDefault="00CA1F4A" w:rsidP="00CA1F4A">
      <w:pPr>
        <w:jc w:val="both"/>
        <w:rPr>
          <w:lang w:val="en-GB" w:eastAsia="ro-MD"/>
        </w:rPr>
      </w:pPr>
      <w:r w:rsidRPr="003101B1">
        <w:rPr>
          <w:lang w:val="en-GB" w:eastAsia="ro-MD"/>
        </w:rPr>
        <w:t xml:space="preserve">c) </w:t>
      </w:r>
      <w:r w:rsidR="000A1329" w:rsidRPr="003101B1">
        <w:rPr>
          <w:lang w:val="en-GB" w:eastAsia="ro-MD"/>
        </w:rPr>
        <w:t>a savings institution</w:t>
      </w:r>
      <w:r w:rsidRPr="003101B1">
        <w:rPr>
          <w:lang w:val="en-GB" w:eastAsia="ro-MD"/>
        </w:rPr>
        <w:t>;</w:t>
      </w:r>
    </w:p>
    <w:p w14:paraId="542CFE06" w14:textId="0AE952E8" w:rsidR="00C2013A" w:rsidRPr="003101B1" w:rsidRDefault="00CA1F4A" w:rsidP="00C2013A">
      <w:pPr>
        <w:jc w:val="both"/>
        <w:rPr>
          <w:lang w:val="en-GB" w:eastAsia="ro-MD"/>
        </w:rPr>
      </w:pPr>
      <w:r w:rsidRPr="003101B1">
        <w:rPr>
          <w:lang w:val="en-GB" w:eastAsia="ro-MD"/>
        </w:rPr>
        <w:t xml:space="preserve">d) </w:t>
      </w:r>
      <w:r w:rsidR="000A1329" w:rsidRPr="003101B1">
        <w:rPr>
          <w:lang w:val="en-GB" w:eastAsia="ro-MD"/>
        </w:rPr>
        <w:t>a similar institution</w:t>
      </w:r>
      <w:r w:rsidRPr="003101B1">
        <w:rPr>
          <w:lang w:val="en-GB" w:eastAsia="ro-MD"/>
        </w:rPr>
        <w:t>;</w:t>
      </w:r>
    </w:p>
    <w:p w14:paraId="4DE7C048" w14:textId="4AA9796C" w:rsidR="006D140B" w:rsidRPr="003101B1" w:rsidRDefault="00CA1F4A" w:rsidP="00C2013A">
      <w:pPr>
        <w:jc w:val="both"/>
        <w:rPr>
          <w:lang w:val="en-GB" w:eastAsia="ro-MD"/>
        </w:rPr>
      </w:pPr>
      <w:r w:rsidRPr="003101B1">
        <w:rPr>
          <w:lang w:val="en-GB" w:eastAsia="ro-MD"/>
        </w:rPr>
        <w:t xml:space="preserve">2) </w:t>
      </w:r>
      <w:r w:rsidR="000A1329" w:rsidRPr="003101B1">
        <w:rPr>
          <w:lang w:val="en-GB" w:eastAsia="ro-MD"/>
        </w:rPr>
        <w:t xml:space="preserve">the conditions set out in Subsection 2 and the amendment conditions set out in paragraphs </w:t>
      </w:r>
      <w:r w:rsidRPr="003101B1">
        <w:rPr>
          <w:lang w:val="en-GB" w:eastAsia="ro-MD"/>
        </w:rPr>
        <w:t>23</w:t>
      </w:r>
      <w:r w:rsidRPr="003101B1">
        <w:rPr>
          <w:vertAlign w:val="superscript"/>
          <w:lang w:val="en-GB" w:eastAsia="ro-MD"/>
        </w:rPr>
        <w:t>3</w:t>
      </w:r>
      <w:r w:rsidRPr="003101B1">
        <w:rPr>
          <w:lang w:val="en-GB" w:eastAsia="ro-MD"/>
        </w:rPr>
        <w:t xml:space="preserve"> -23</w:t>
      </w:r>
      <w:r w:rsidRPr="003101B1">
        <w:rPr>
          <w:vertAlign w:val="superscript"/>
          <w:lang w:val="en-GB" w:eastAsia="ro-MD"/>
        </w:rPr>
        <w:t>8</w:t>
      </w:r>
      <w:r w:rsidR="000A1329" w:rsidRPr="003101B1">
        <w:rPr>
          <w:lang w:val="en-GB" w:eastAsia="ro-MD"/>
        </w:rPr>
        <w:t xml:space="preserve"> are met.</w:t>
      </w:r>
    </w:p>
    <w:p w14:paraId="60E64EA5" w14:textId="240E264B" w:rsidR="00C2013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0A1329" w:rsidRPr="003101B1">
        <w:rPr>
          <w:lang w:val="en-GB" w:eastAsia="ro-MD"/>
        </w:rPr>
        <w:t>A specific type of undertaking recognised under applicable national law qualifies as a mutual, cooperative society, savings institution or similar institution for the purposes of this Regulation in accordance with the conditions set out in the Annex</w:t>
      </w:r>
      <w:r w:rsidRPr="003101B1">
        <w:rPr>
          <w:lang w:val="en-GB" w:eastAsia="ro-MD"/>
        </w:rPr>
        <w:t xml:space="preserve"> 3</w:t>
      </w:r>
      <w:r w:rsidRPr="003101B1">
        <w:rPr>
          <w:vertAlign w:val="superscript"/>
          <w:lang w:val="en-GB" w:eastAsia="ro-MD"/>
        </w:rPr>
        <w:t>1</w:t>
      </w:r>
      <w:r w:rsidRPr="003101B1">
        <w:rPr>
          <w:lang w:val="en-GB" w:eastAsia="ro-MD"/>
        </w:rPr>
        <w:t>.</w:t>
      </w:r>
    </w:p>
    <w:p w14:paraId="7E63FDC8" w14:textId="7EF55C20" w:rsidR="00C2013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3</w:t>
      </w:r>
      <w:r w:rsidRPr="003101B1">
        <w:rPr>
          <w:b/>
          <w:bCs/>
          <w:lang w:val="en-GB" w:eastAsia="ro-MD"/>
        </w:rPr>
        <w:t>.</w:t>
      </w:r>
      <w:r w:rsidRPr="003101B1">
        <w:rPr>
          <w:lang w:val="en-GB" w:eastAsia="ro-MD"/>
        </w:rPr>
        <w:t xml:space="preserve"> </w:t>
      </w:r>
      <w:r w:rsidR="00233260" w:rsidRPr="003101B1">
        <w:rPr>
          <w:lang w:val="en-GB" w:eastAsia="ro-MD"/>
        </w:rPr>
        <w:t>Capital instruments issued by mutuals, cooperative societies, savings institutions and similar institutions shall qualify as Common Equity Tier 1 instruments only if the conditions laid down in Subsection 2 with the changes resulting from the application of this Subsection are met</w:t>
      </w:r>
      <w:r w:rsidRPr="003101B1">
        <w:rPr>
          <w:lang w:val="en-GB" w:eastAsia="ro-MD"/>
        </w:rPr>
        <w:t>.</w:t>
      </w:r>
      <w:r w:rsidRPr="003101B1">
        <w:rPr>
          <w:sz w:val="18"/>
          <w:szCs w:val="18"/>
          <w:highlight w:val="lightGray"/>
          <w:lang w:val="en-GB" w:eastAsia="ro-MD"/>
        </w:rPr>
        <w:t xml:space="preserve"> </w:t>
      </w:r>
    </w:p>
    <w:p w14:paraId="48325E5B" w14:textId="3812AC39" w:rsidR="00C2013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4</w:t>
      </w:r>
      <w:r w:rsidRPr="003101B1">
        <w:rPr>
          <w:b/>
          <w:bCs/>
          <w:lang w:val="en-GB" w:eastAsia="ro-MD"/>
        </w:rPr>
        <w:t>.</w:t>
      </w:r>
      <w:r w:rsidRPr="003101B1">
        <w:rPr>
          <w:lang w:val="en-GB" w:eastAsia="ro-MD"/>
        </w:rPr>
        <w:t xml:space="preserve"> </w:t>
      </w:r>
      <w:r w:rsidR="00233260" w:rsidRPr="003101B1">
        <w:rPr>
          <w:lang w:val="en-GB" w:eastAsia="ro-MD"/>
        </w:rPr>
        <w:t>For the purposes of paragraph 23</w:t>
      </w:r>
      <w:r w:rsidR="00233260" w:rsidRPr="003101B1">
        <w:rPr>
          <w:vertAlign w:val="superscript"/>
          <w:lang w:val="en-GB" w:eastAsia="ro-MD"/>
        </w:rPr>
        <w:t>3</w:t>
      </w:r>
      <w:r w:rsidR="00233260" w:rsidRPr="003101B1">
        <w:rPr>
          <w:lang w:val="en-GB" w:eastAsia="ro-MD"/>
        </w:rPr>
        <w:t>, the following conditions relating to the redemption of capital instruments shall be met</w:t>
      </w:r>
      <w:r w:rsidRPr="003101B1">
        <w:rPr>
          <w:lang w:val="en-GB" w:eastAsia="ro-MD"/>
        </w:rPr>
        <w:t>:</w:t>
      </w:r>
    </w:p>
    <w:p w14:paraId="4F5AAC44" w14:textId="2F2BB812" w:rsidR="00C2013A" w:rsidRPr="003101B1" w:rsidRDefault="00C2013A" w:rsidP="00C2013A">
      <w:pPr>
        <w:jc w:val="both"/>
        <w:rPr>
          <w:lang w:val="en-GB" w:eastAsia="ro-MD"/>
        </w:rPr>
      </w:pPr>
      <w:r w:rsidRPr="003101B1">
        <w:rPr>
          <w:lang w:val="en-GB" w:eastAsia="ro-MD"/>
        </w:rPr>
        <w:t xml:space="preserve">1) </w:t>
      </w:r>
      <w:r w:rsidR="00233260" w:rsidRPr="003101B1">
        <w:rPr>
          <w:lang w:val="en-GB" w:eastAsia="ro-MD"/>
        </w:rPr>
        <w:t>the company has the possibility to refuse redemption of the instruments, unless prohibited under applicable national law</w:t>
      </w:r>
      <w:r w:rsidRPr="003101B1">
        <w:rPr>
          <w:lang w:val="en-GB" w:eastAsia="ro-MD"/>
        </w:rPr>
        <w:t>;</w:t>
      </w:r>
    </w:p>
    <w:p w14:paraId="648F7E86" w14:textId="26080CB3" w:rsidR="00C2013A" w:rsidRPr="003101B1" w:rsidRDefault="00C2013A" w:rsidP="00C2013A">
      <w:pPr>
        <w:jc w:val="both"/>
        <w:rPr>
          <w:lang w:val="en-GB" w:eastAsia="ro-MD"/>
        </w:rPr>
      </w:pPr>
      <w:r w:rsidRPr="003101B1">
        <w:rPr>
          <w:lang w:val="en-GB" w:eastAsia="ro-MD"/>
        </w:rPr>
        <w:t xml:space="preserve">2) </w:t>
      </w:r>
      <w:r w:rsidR="00233260" w:rsidRPr="003101B1">
        <w:rPr>
          <w:lang w:val="en-GB" w:eastAsia="ro-MD"/>
        </w:rPr>
        <w:t>where the refusal of the institution to redeem the instruments is prohibited under applicable national law, the provisions governing the instruments give the company the possibility to limit their redemption</w:t>
      </w:r>
      <w:r w:rsidRPr="003101B1">
        <w:rPr>
          <w:lang w:val="en-GB" w:eastAsia="ro-MD"/>
        </w:rPr>
        <w:t>;</w:t>
      </w:r>
    </w:p>
    <w:p w14:paraId="6FF5C201" w14:textId="154B44EB" w:rsidR="00C2013A" w:rsidRPr="003101B1" w:rsidRDefault="00C2013A" w:rsidP="00C2013A">
      <w:pPr>
        <w:jc w:val="both"/>
        <w:rPr>
          <w:lang w:val="en-GB" w:eastAsia="ro-MD"/>
        </w:rPr>
      </w:pPr>
      <w:r w:rsidRPr="003101B1">
        <w:rPr>
          <w:lang w:val="en-GB" w:eastAsia="ro-MD"/>
        </w:rPr>
        <w:t xml:space="preserve">3) </w:t>
      </w:r>
      <w:r w:rsidR="00233260" w:rsidRPr="003101B1">
        <w:rPr>
          <w:lang w:val="en-GB" w:eastAsia="ro-MD"/>
        </w:rPr>
        <w:t>refusal to redeem the instruments or limitation of redemption of the instruments, as applicable, shall not constitute an event of default of the undertaking</w:t>
      </w:r>
      <w:r w:rsidRPr="003101B1">
        <w:rPr>
          <w:lang w:val="en-GB" w:eastAsia="ro-MD"/>
        </w:rPr>
        <w:t>.</w:t>
      </w:r>
    </w:p>
    <w:p w14:paraId="42208CB6" w14:textId="321EA0C5" w:rsidR="00C2013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5</w:t>
      </w:r>
      <w:r w:rsidRPr="003101B1">
        <w:rPr>
          <w:b/>
          <w:bCs/>
          <w:lang w:val="en-GB" w:eastAsia="ro-MD"/>
        </w:rPr>
        <w:t>.</w:t>
      </w:r>
      <w:r w:rsidRPr="003101B1">
        <w:rPr>
          <w:lang w:val="en-GB" w:eastAsia="ro-MD"/>
        </w:rPr>
        <w:t xml:space="preserve"> </w:t>
      </w:r>
      <w:r w:rsidR="00233260" w:rsidRPr="003101B1">
        <w:rPr>
          <w:lang w:val="en-GB" w:eastAsia="ro-MD"/>
        </w:rPr>
        <w:t>Capital instruments may include a cap or restriction on the maximum level of distributions only where that cap or restriction is provided for in the applicable national law or in the company’s instrument of incorporation</w:t>
      </w:r>
      <w:r w:rsidRPr="003101B1">
        <w:rPr>
          <w:lang w:val="en-GB" w:eastAsia="ro-MD"/>
        </w:rPr>
        <w:t>.</w:t>
      </w:r>
      <w:r w:rsidRPr="003101B1">
        <w:rPr>
          <w:sz w:val="18"/>
          <w:szCs w:val="18"/>
          <w:highlight w:val="lightGray"/>
          <w:lang w:val="en-GB" w:eastAsia="ro-MD"/>
        </w:rPr>
        <w:t xml:space="preserve"> </w:t>
      </w:r>
    </w:p>
    <w:p w14:paraId="75C2EEC4" w14:textId="4F943B92" w:rsidR="00C2013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6</w:t>
      </w:r>
      <w:r w:rsidRPr="003101B1">
        <w:rPr>
          <w:b/>
          <w:bCs/>
          <w:lang w:val="en-GB" w:eastAsia="ro-MD"/>
        </w:rPr>
        <w:t>.</w:t>
      </w:r>
      <w:r w:rsidRPr="003101B1">
        <w:rPr>
          <w:lang w:val="en-GB" w:eastAsia="ro-MD"/>
        </w:rPr>
        <w:t xml:space="preserve"> </w:t>
      </w:r>
      <w:r w:rsidR="00233260" w:rsidRPr="003101B1">
        <w:rPr>
          <w:lang w:val="en-GB" w:eastAsia="ro-MD"/>
        </w:rPr>
        <w:t>Where capital instruments confer on the owner rights to the company’s reserves in the event of insolvency or liquidation that are limited to the nominal value of the instruments, such limitation shall apply to the same extent to the holders of all other Common Equity Tier 1 instruments issued by that company</w:t>
      </w:r>
      <w:r w:rsidRPr="003101B1">
        <w:rPr>
          <w:lang w:val="en-GB" w:eastAsia="ro-MD"/>
        </w:rPr>
        <w:t xml:space="preserve">. </w:t>
      </w:r>
    </w:p>
    <w:p w14:paraId="524ECE70" w14:textId="374DBEFA" w:rsidR="00C2013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7</w:t>
      </w:r>
      <w:r w:rsidRPr="003101B1">
        <w:rPr>
          <w:b/>
          <w:bCs/>
          <w:lang w:val="en-GB" w:eastAsia="ro-MD"/>
        </w:rPr>
        <w:t>.</w:t>
      </w:r>
      <w:r w:rsidRPr="003101B1">
        <w:rPr>
          <w:lang w:val="en-GB" w:eastAsia="ro-MD"/>
        </w:rPr>
        <w:t xml:space="preserve"> </w:t>
      </w:r>
      <w:r w:rsidR="00233260" w:rsidRPr="003101B1">
        <w:rPr>
          <w:lang w:val="en-GB" w:eastAsia="ro-MD"/>
        </w:rPr>
        <w:t>The condition referred to in paragraph 236 is without prejudice to the possibility for a mutual, cooperative society, savings institution or a similar institution to recognize within Common Equity Tier 1 instruments that do not afford voting rights to the holder and that meet all the following conditions</w:t>
      </w:r>
      <w:r w:rsidRPr="003101B1">
        <w:rPr>
          <w:lang w:val="en-GB" w:eastAsia="ro-MD"/>
        </w:rPr>
        <w:t>:</w:t>
      </w:r>
    </w:p>
    <w:p w14:paraId="345274A2" w14:textId="2479C939" w:rsidR="00C2013A" w:rsidRPr="003101B1" w:rsidRDefault="00C2013A" w:rsidP="00C2013A">
      <w:pPr>
        <w:jc w:val="both"/>
        <w:rPr>
          <w:lang w:val="en-GB" w:eastAsia="ro-MD"/>
        </w:rPr>
      </w:pPr>
      <w:r w:rsidRPr="003101B1">
        <w:rPr>
          <w:lang w:val="en-GB" w:eastAsia="ro-MD"/>
        </w:rPr>
        <w:t xml:space="preserve">1) </w:t>
      </w:r>
      <w:r w:rsidR="00233260" w:rsidRPr="003101B1">
        <w:rPr>
          <w:lang w:val="en-GB" w:eastAsia="ro-MD"/>
        </w:rPr>
        <w:t>the claim of the holders of the non-voting instruments in the event of the insolvency or liquidation of the company is proportionate to the share of those non-voting instruments in the total Common Equity Tier 1 instruments</w:t>
      </w:r>
      <w:r w:rsidRPr="003101B1">
        <w:rPr>
          <w:lang w:val="en-GB" w:eastAsia="ro-MD"/>
        </w:rPr>
        <w:t>;</w:t>
      </w:r>
    </w:p>
    <w:p w14:paraId="3B97A24F" w14:textId="12B2BD59" w:rsidR="00C2013A" w:rsidRPr="003101B1" w:rsidRDefault="00C2013A" w:rsidP="00C2013A">
      <w:pPr>
        <w:jc w:val="both"/>
        <w:rPr>
          <w:lang w:val="en-GB" w:eastAsia="ro-MD"/>
        </w:rPr>
      </w:pPr>
      <w:r w:rsidRPr="003101B1">
        <w:rPr>
          <w:lang w:val="en-GB" w:eastAsia="ro-MD"/>
        </w:rPr>
        <w:t xml:space="preserve">2) </w:t>
      </w:r>
      <w:r w:rsidR="00BD0BC8" w:rsidRPr="003101B1">
        <w:rPr>
          <w:lang w:val="en-GB" w:eastAsia="ro-MD"/>
        </w:rPr>
        <w:t>the instruments otherwise qualify as Common Equity Tier 1 instruments</w:t>
      </w:r>
      <w:r w:rsidRPr="003101B1">
        <w:rPr>
          <w:lang w:val="en-GB" w:eastAsia="ro-MD"/>
        </w:rPr>
        <w:t>.</w:t>
      </w:r>
    </w:p>
    <w:p w14:paraId="6AF2C1DE" w14:textId="5D313E90" w:rsidR="00CA1F4A" w:rsidRPr="003101B1" w:rsidRDefault="00C2013A" w:rsidP="00C2013A">
      <w:pPr>
        <w:jc w:val="both"/>
        <w:rPr>
          <w:lang w:val="en-GB" w:eastAsia="ro-MD"/>
        </w:rPr>
      </w:pPr>
      <w:r w:rsidRPr="003101B1">
        <w:rPr>
          <w:b/>
          <w:bCs/>
          <w:lang w:val="en-GB" w:eastAsia="ro-MD"/>
        </w:rPr>
        <w:t>23</w:t>
      </w:r>
      <w:r w:rsidRPr="003101B1">
        <w:rPr>
          <w:b/>
          <w:bCs/>
          <w:vertAlign w:val="superscript"/>
          <w:lang w:val="en-GB" w:eastAsia="ro-MD"/>
        </w:rPr>
        <w:t>8</w:t>
      </w:r>
      <w:r w:rsidRPr="003101B1">
        <w:rPr>
          <w:b/>
          <w:bCs/>
          <w:lang w:val="en-GB" w:eastAsia="ro-MD"/>
        </w:rPr>
        <w:t xml:space="preserve">. </w:t>
      </w:r>
      <w:r w:rsidR="00BD0BC8" w:rsidRPr="003101B1">
        <w:rPr>
          <w:lang w:val="en-GB" w:eastAsia="ro-MD"/>
        </w:rPr>
        <w:t>Where capital instruments give their owners the right to a claim on the assets of the company in the event of insolvency or liquidation that is fixed or capped, such limitation shall apply equally to all holders of Common Equity Tier 1 instruments issued by the company</w:t>
      </w:r>
      <w:r w:rsidRPr="003101B1">
        <w:rPr>
          <w:lang w:val="en-GB" w:eastAsia="ro-MD"/>
        </w:rPr>
        <w:t>.”.</w:t>
      </w:r>
    </w:p>
    <w:p w14:paraId="35B31B5E" w14:textId="1E9C056E" w:rsidR="00A3641C" w:rsidRPr="003101B1" w:rsidRDefault="00E74486" w:rsidP="007F1A8A">
      <w:pPr>
        <w:pStyle w:val="ListParagraph"/>
        <w:numPr>
          <w:ilvl w:val="1"/>
          <w:numId w:val="27"/>
        </w:numPr>
        <w:tabs>
          <w:tab w:val="left" w:pos="426"/>
          <w:tab w:val="left" w:pos="567"/>
        </w:tabs>
        <w:spacing w:before="80"/>
        <w:ind w:left="0" w:firstLine="567"/>
        <w:jc w:val="both"/>
        <w:rPr>
          <w:lang w:val="en-GB"/>
        </w:rPr>
      </w:pPr>
      <w:r w:rsidRPr="003101B1">
        <w:rPr>
          <w:lang w:val="en-GB"/>
        </w:rPr>
        <w:t>In Section 2 “Prudential filters for treasury cash flow, changes in the value of their own liabilities and additional adjustments of value”, Chapter III</w:t>
      </w:r>
      <w:r w:rsidR="00A3641C" w:rsidRPr="003101B1">
        <w:rPr>
          <w:lang w:val="en-GB"/>
        </w:rPr>
        <w:t>:</w:t>
      </w:r>
    </w:p>
    <w:p w14:paraId="4C493302" w14:textId="2E77342B" w:rsidR="00396DFF" w:rsidRPr="003101B1" w:rsidRDefault="00E74486" w:rsidP="007F1A8A">
      <w:pPr>
        <w:pStyle w:val="ListParagraph"/>
        <w:numPr>
          <w:ilvl w:val="2"/>
          <w:numId w:val="27"/>
        </w:numPr>
        <w:tabs>
          <w:tab w:val="left" w:pos="426"/>
          <w:tab w:val="left" w:pos="567"/>
        </w:tabs>
        <w:spacing w:before="80"/>
        <w:ind w:left="0" w:firstLine="567"/>
        <w:jc w:val="both"/>
        <w:rPr>
          <w:lang w:val="en-GB"/>
        </w:rPr>
      </w:pPr>
      <w:r w:rsidRPr="003101B1">
        <w:rPr>
          <w:lang w:val="en-GB"/>
        </w:rPr>
        <w:t>in the Section name, after the word “for” the text “securitised assets,” shall be inserted</w:t>
      </w:r>
      <w:r w:rsidR="00396DFF" w:rsidRPr="003101B1">
        <w:rPr>
          <w:lang w:val="en-GB"/>
        </w:rPr>
        <w:t>”;</w:t>
      </w:r>
    </w:p>
    <w:p w14:paraId="2F36BDD4" w14:textId="03AF8468" w:rsidR="00396DFF" w:rsidRPr="003101B1" w:rsidRDefault="002326A6" w:rsidP="00396DFF">
      <w:pPr>
        <w:pStyle w:val="ListParagraph"/>
        <w:numPr>
          <w:ilvl w:val="2"/>
          <w:numId w:val="27"/>
        </w:numPr>
        <w:tabs>
          <w:tab w:val="left" w:pos="426"/>
          <w:tab w:val="left" w:pos="567"/>
        </w:tabs>
        <w:spacing w:before="80"/>
        <w:ind w:left="-142" w:firstLine="709"/>
        <w:jc w:val="both"/>
        <w:rPr>
          <w:lang w:val="en-GB"/>
        </w:rPr>
      </w:pPr>
      <w:bookmarkStart w:id="12" w:name="_Hlk206669406"/>
      <w:r w:rsidRPr="003101B1">
        <w:rPr>
          <w:lang w:val="en-GB"/>
        </w:rPr>
        <w:t xml:space="preserve">section </w:t>
      </w:r>
      <w:r w:rsidR="00E74486" w:rsidRPr="003101B1">
        <w:rPr>
          <w:lang w:val="en-GB"/>
        </w:rPr>
        <w:t>2</w:t>
      </w:r>
      <w:r w:rsidR="00396DFF" w:rsidRPr="003101B1">
        <w:rPr>
          <w:lang w:val="en-GB"/>
        </w:rPr>
        <w:t xml:space="preserve"> </w:t>
      </w:r>
      <w:r w:rsidR="00E74486" w:rsidRPr="003101B1">
        <w:rPr>
          <w:lang w:val="en-GB"/>
        </w:rPr>
        <w:t>shall be supplemented with paragraphs</w:t>
      </w:r>
      <w:r w:rsidR="00396DFF" w:rsidRPr="003101B1">
        <w:rPr>
          <w:lang w:val="en-GB"/>
        </w:rPr>
        <w:t xml:space="preserve"> 25</w:t>
      </w:r>
      <w:r w:rsidR="00396DFF" w:rsidRPr="003101B1">
        <w:rPr>
          <w:vertAlign w:val="superscript"/>
          <w:lang w:val="en-GB"/>
        </w:rPr>
        <w:t>1</w:t>
      </w:r>
      <w:r w:rsidR="00396DFF" w:rsidRPr="003101B1">
        <w:rPr>
          <w:lang w:val="en-GB"/>
        </w:rPr>
        <w:t xml:space="preserve"> </w:t>
      </w:r>
      <w:r w:rsidR="00E74486" w:rsidRPr="003101B1">
        <w:rPr>
          <w:lang w:val="en-GB"/>
        </w:rPr>
        <w:t>and</w:t>
      </w:r>
      <w:r w:rsidR="00396DFF" w:rsidRPr="003101B1">
        <w:rPr>
          <w:lang w:val="en-GB"/>
        </w:rPr>
        <w:t xml:space="preserve"> 25</w:t>
      </w:r>
      <w:r w:rsidR="00396DFF" w:rsidRPr="003101B1">
        <w:rPr>
          <w:vertAlign w:val="superscript"/>
          <w:lang w:val="en-GB"/>
        </w:rPr>
        <w:t>2</w:t>
      </w:r>
      <w:r w:rsidR="00396DFF" w:rsidRPr="003101B1">
        <w:rPr>
          <w:lang w:val="en-GB"/>
        </w:rPr>
        <w:t xml:space="preserve"> </w:t>
      </w:r>
      <w:r w:rsidR="00E74486" w:rsidRPr="003101B1">
        <w:rPr>
          <w:lang w:val="en-GB"/>
        </w:rPr>
        <w:t>as follows</w:t>
      </w:r>
      <w:r w:rsidR="00396DFF" w:rsidRPr="003101B1">
        <w:rPr>
          <w:lang w:val="en-GB"/>
        </w:rPr>
        <w:t>:</w:t>
      </w:r>
    </w:p>
    <w:bookmarkEnd w:id="12"/>
    <w:p w14:paraId="621D2948" w14:textId="15EDC4FD" w:rsidR="00396DFF" w:rsidRPr="003101B1" w:rsidRDefault="00101437" w:rsidP="00396DFF">
      <w:pPr>
        <w:pStyle w:val="ListParagraph"/>
        <w:ind w:left="0"/>
        <w:jc w:val="both"/>
        <w:rPr>
          <w:lang w:val="en-GB" w:eastAsia="ro-MD"/>
        </w:rPr>
      </w:pPr>
      <w:r w:rsidRPr="003101B1">
        <w:rPr>
          <w:lang w:val="en-GB" w:eastAsia="ro-MD"/>
        </w:rPr>
        <w:t>“</w:t>
      </w:r>
      <w:r w:rsidR="00396DFF" w:rsidRPr="003101B1">
        <w:rPr>
          <w:b/>
          <w:bCs/>
          <w:lang w:val="en-GB" w:eastAsia="ro-MD"/>
        </w:rPr>
        <w:t>25</w:t>
      </w:r>
      <w:r w:rsidR="00396DFF" w:rsidRPr="003101B1">
        <w:rPr>
          <w:b/>
          <w:bCs/>
          <w:vertAlign w:val="superscript"/>
          <w:lang w:val="en-GB" w:eastAsia="ro-MD"/>
        </w:rPr>
        <w:t>1</w:t>
      </w:r>
      <w:r w:rsidR="00396DFF" w:rsidRPr="003101B1">
        <w:rPr>
          <w:b/>
          <w:bCs/>
          <w:lang w:val="en-GB" w:eastAsia="ro-MD"/>
        </w:rPr>
        <w:t xml:space="preserve">. </w:t>
      </w:r>
      <w:r w:rsidRPr="003101B1">
        <w:rPr>
          <w:lang w:val="en-GB" w:eastAsia="ro-MD"/>
        </w:rPr>
        <w:t>The bank shall exclude from any element of own funds any increase in equity under the accounting framework resulting from securitised assets, including the following</w:t>
      </w:r>
      <w:r w:rsidR="00396DFF" w:rsidRPr="003101B1">
        <w:rPr>
          <w:lang w:val="en-GB" w:eastAsia="ro-MD"/>
        </w:rPr>
        <w:t>:</w:t>
      </w:r>
    </w:p>
    <w:p w14:paraId="13C5A300" w14:textId="479BE4CC" w:rsidR="00396DFF" w:rsidRPr="003101B1" w:rsidRDefault="00396DFF" w:rsidP="00396DFF">
      <w:pPr>
        <w:pStyle w:val="ListParagraph"/>
        <w:ind w:left="0"/>
        <w:jc w:val="both"/>
        <w:rPr>
          <w:lang w:val="en-GB" w:eastAsia="ro-MD"/>
        </w:rPr>
      </w:pPr>
      <w:r w:rsidRPr="003101B1">
        <w:rPr>
          <w:lang w:val="en-GB" w:eastAsia="ro-MD"/>
        </w:rPr>
        <w:t xml:space="preserve">1) </w:t>
      </w:r>
      <w:r w:rsidR="00101437" w:rsidRPr="003101B1">
        <w:rPr>
          <w:lang w:val="en-GB" w:eastAsia="ro-MD"/>
        </w:rPr>
        <w:t>such an increase associated with future margin income that results in a gain on sale for the bank</w:t>
      </w:r>
      <w:r w:rsidRPr="003101B1">
        <w:rPr>
          <w:lang w:val="en-GB" w:eastAsia="ro-MD"/>
        </w:rPr>
        <w:t>;</w:t>
      </w:r>
    </w:p>
    <w:p w14:paraId="200AE36F" w14:textId="130355AF" w:rsidR="00396DFF" w:rsidRPr="003101B1" w:rsidRDefault="00396DFF" w:rsidP="00396DFF">
      <w:pPr>
        <w:pStyle w:val="ListParagraph"/>
        <w:ind w:left="0"/>
        <w:jc w:val="both"/>
        <w:rPr>
          <w:lang w:val="en-GB" w:eastAsia="ro-MD"/>
        </w:rPr>
      </w:pPr>
      <w:r w:rsidRPr="003101B1">
        <w:rPr>
          <w:lang w:val="en-GB" w:eastAsia="ro-MD"/>
        </w:rPr>
        <w:t xml:space="preserve">2) </w:t>
      </w:r>
      <w:r w:rsidR="00101437" w:rsidRPr="003101B1">
        <w:rPr>
          <w:lang w:val="en-GB" w:eastAsia="ro-MD"/>
        </w:rPr>
        <w:t>where the bank is the originator of a securitisation, net gains that arise from the capitalisation of future income from the securitised assets that provide credit enhancement to positions in the securitisation</w:t>
      </w:r>
      <w:r w:rsidRPr="003101B1">
        <w:rPr>
          <w:lang w:val="en-GB" w:eastAsia="ro-MD"/>
        </w:rPr>
        <w:t>.</w:t>
      </w:r>
    </w:p>
    <w:p w14:paraId="5CC3E826" w14:textId="43F9690A" w:rsidR="00396DFF" w:rsidRPr="003101B1" w:rsidRDefault="00396DFF" w:rsidP="00396DFF">
      <w:pPr>
        <w:pStyle w:val="ListParagraph"/>
        <w:tabs>
          <w:tab w:val="left" w:pos="567"/>
          <w:tab w:val="left" w:pos="851"/>
        </w:tabs>
        <w:ind w:left="0"/>
        <w:jc w:val="both"/>
        <w:rPr>
          <w:lang w:val="en-GB" w:eastAsia="ro-MD"/>
        </w:rPr>
      </w:pPr>
      <w:r w:rsidRPr="003101B1">
        <w:rPr>
          <w:b/>
          <w:bCs/>
          <w:lang w:val="en-GB" w:eastAsia="ro-MD"/>
        </w:rPr>
        <w:t>25</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101437" w:rsidRPr="003101B1">
        <w:rPr>
          <w:lang w:val="en-GB" w:eastAsia="ro-MD"/>
        </w:rPr>
        <w:t>For the purpose of paragraph</w:t>
      </w:r>
      <w:r w:rsidRPr="003101B1">
        <w:rPr>
          <w:lang w:val="en-GB" w:eastAsia="ro-MD"/>
        </w:rPr>
        <w:t xml:space="preserve"> 25</w:t>
      </w:r>
      <w:r w:rsidRPr="003101B1">
        <w:rPr>
          <w:vertAlign w:val="superscript"/>
          <w:lang w:val="en-GB" w:eastAsia="ro-MD"/>
        </w:rPr>
        <w:t>1</w:t>
      </w:r>
      <w:r w:rsidRPr="003101B1">
        <w:rPr>
          <w:lang w:val="en-GB" w:eastAsia="ro-MD"/>
        </w:rPr>
        <w:t xml:space="preserve"> </w:t>
      </w:r>
      <w:r w:rsidR="00101437" w:rsidRPr="003101B1">
        <w:rPr>
          <w:lang w:val="en-GB" w:eastAsia="ro-MD"/>
        </w:rPr>
        <w:t>sub-paragraph</w:t>
      </w:r>
      <w:r w:rsidRPr="003101B1">
        <w:rPr>
          <w:lang w:val="en-GB" w:eastAsia="ro-MD"/>
        </w:rPr>
        <w:t xml:space="preserve"> 1)</w:t>
      </w:r>
      <w:r w:rsidR="00780F8F" w:rsidRPr="003101B1">
        <w:rPr>
          <w:lang w:val="en-GB" w:eastAsia="ro-MD"/>
        </w:rPr>
        <w:t>,</w:t>
      </w:r>
      <w:r w:rsidRPr="003101B1">
        <w:rPr>
          <w:lang w:val="en-GB" w:eastAsia="ro-MD"/>
        </w:rPr>
        <w:t xml:space="preserve"> </w:t>
      </w:r>
      <w:r w:rsidR="00101437" w:rsidRPr="003101B1">
        <w:rPr>
          <w:lang w:val="en-GB" w:eastAsia="ro-MD"/>
        </w:rPr>
        <w:t>the meaning of “gain on sale” is set out in Annex 1</w:t>
      </w:r>
      <w:r w:rsidRPr="003101B1">
        <w:rPr>
          <w:lang w:val="en-GB" w:eastAsia="ro-MD"/>
        </w:rPr>
        <w:t>.”.</w:t>
      </w:r>
    </w:p>
    <w:p w14:paraId="40C95BB1" w14:textId="2C13F1BF" w:rsidR="006843FE" w:rsidRPr="003101B1" w:rsidRDefault="00101437" w:rsidP="00E91829">
      <w:pPr>
        <w:pStyle w:val="ListParagraph"/>
        <w:numPr>
          <w:ilvl w:val="1"/>
          <w:numId w:val="27"/>
        </w:numPr>
        <w:tabs>
          <w:tab w:val="left" w:pos="426"/>
          <w:tab w:val="left" w:pos="567"/>
          <w:tab w:val="left" w:pos="851"/>
        </w:tabs>
        <w:spacing w:before="80"/>
        <w:ind w:left="0" w:firstLine="567"/>
        <w:contextualSpacing w:val="0"/>
        <w:jc w:val="both"/>
        <w:rPr>
          <w:lang w:val="en-GB" w:eastAsia="ro-MD"/>
        </w:rPr>
      </w:pPr>
      <w:r w:rsidRPr="003101B1">
        <w:rPr>
          <w:lang w:val="en-GB"/>
        </w:rPr>
        <w:t>Paragraphs</w:t>
      </w:r>
      <w:r w:rsidR="006843FE" w:rsidRPr="003101B1">
        <w:rPr>
          <w:lang w:val="en-GB"/>
        </w:rPr>
        <w:t xml:space="preserve"> 27</w:t>
      </w:r>
      <w:r w:rsidR="006843FE" w:rsidRPr="003101B1">
        <w:rPr>
          <w:vertAlign w:val="superscript"/>
          <w:lang w:val="en-GB"/>
        </w:rPr>
        <w:t>1</w:t>
      </w:r>
      <w:r w:rsidR="006843FE" w:rsidRPr="003101B1">
        <w:rPr>
          <w:lang w:val="en-GB"/>
        </w:rPr>
        <w:t xml:space="preserve"> </w:t>
      </w:r>
      <w:r w:rsidR="0032258E" w:rsidRPr="003101B1">
        <w:rPr>
          <w:lang w:val="en-GB"/>
        </w:rPr>
        <w:t xml:space="preserve">- </w:t>
      </w:r>
      <w:r w:rsidR="006843FE" w:rsidRPr="003101B1">
        <w:rPr>
          <w:lang w:val="en-GB"/>
        </w:rPr>
        <w:t>27</w:t>
      </w:r>
      <w:r w:rsidR="0032258E" w:rsidRPr="003101B1">
        <w:rPr>
          <w:vertAlign w:val="superscript"/>
          <w:lang w:val="en-GB"/>
        </w:rPr>
        <w:t>3</w:t>
      </w:r>
      <w:r w:rsidR="006843FE" w:rsidRPr="003101B1">
        <w:rPr>
          <w:lang w:val="en-GB"/>
        </w:rPr>
        <w:t xml:space="preserve"> </w:t>
      </w:r>
      <w:r w:rsidRPr="003101B1">
        <w:rPr>
          <w:lang w:val="en-GB"/>
        </w:rPr>
        <w:t>shall be added with the following context</w:t>
      </w:r>
      <w:r w:rsidR="006843FE" w:rsidRPr="003101B1">
        <w:rPr>
          <w:lang w:val="en-GB"/>
        </w:rPr>
        <w:t>:</w:t>
      </w:r>
    </w:p>
    <w:p w14:paraId="3FD9CFAD" w14:textId="16E7F2AF" w:rsidR="006843FE" w:rsidRPr="003101B1" w:rsidRDefault="00101437" w:rsidP="006843FE">
      <w:pPr>
        <w:jc w:val="both"/>
        <w:rPr>
          <w:lang w:val="en-GB" w:eastAsia="ro-MD"/>
        </w:rPr>
      </w:pPr>
      <w:r w:rsidRPr="003101B1">
        <w:rPr>
          <w:lang w:val="en-GB" w:eastAsia="ro-MD"/>
        </w:rPr>
        <w:t>“</w:t>
      </w:r>
      <w:r w:rsidR="006843FE" w:rsidRPr="003101B1">
        <w:rPr>
          <w:b/>
          <w:bCs/>
          <w:lang w:val="en-GB" w:eastAsia="ro-MD"/>
        </w:rPr>
        <w:t>27</w:t>
      </w:r>
      <w:r w:rsidR="006843FE" w:rsidRPr="003101B1">
        <w:rPr>
          <w:b/>
          <w:bCs/>
          <w:vertAlign w:val="superscript"/>
          <w:lang w:val="en-GB" w:eastAsia="ro-MD"/>
        </w:rPr>
        <w:t>1</w:t>
      </w:r>
      <w:r w:rsidR="006843FE" w:rsidRPr="003101B1">
        <w:rPr>
          <w:b/>
          <w:bCs/>
          <w:lang w:val="en-GB" w:eastAsia="ro-MD"/>
        </w:rPr>
        <w:t>.</w:t>
      </w:r>
      <w:r w:rsidR="006843FE" w:rsidRPr="003101B1">
        <w:rPr>
          <w:lang w:val="en-GB" w:eastAsia="ro-MD"/>
        </w:rPr>
        <w:t xml:space="preserve"> </w:t>
      </w:r>
      <w:r w:rsidR="00255EB6" w:rsidRPr="003101B1">
        <w:rPr>
          <w:lang w:val="en-GB" w:eastAsia="ro-MD"/>
        </w:rPr>
        <w:t xml:space="preserve">Without prejudice to paragraph </w:t>
      </w:r>
      <w:r w:rsidR="006843FE" w:rsidRPr="003101B1">
        <w:rPr>
          <w:lang w:val="en-GB" w:eastAsia="ro-MD"/>
        </w:rPr>
        <w:t xml:space="preserve">26 </w:t>
      </w:r>
      <w:r w:rsidR="00255EB6" w:rsidRPr="003101B1">
        <w:rPr>
          <w:lang w:val="en-GB" w:eastAsia="ro-MD"/>
        </w:rPr>
        <w:t>sub-paragraph</w:t>
      </w:r>
      <w:r w:rsidR="006843FE" w:rsidRPr="003101B1">
        <w:rPr>
          <w:lang w:val="en-GB" w:eastAsia="ro-MD"/>
        </w:rPr>
        <w:t xml:space="preserve"> </w:t>
      </w:r>
      <w:r w:rsidR="00994CA4" w:rsidRPr="003101B1">
        <w:rPr>
          <w:lang w:val="en-GB" w:eastAsia="ro-MD"/>
        </w:rPr>
        <w:t>2</w:t>
      </w:r>
      <w:r w:rsidR="006843FE" w:rsidRPr="003101B1">
        <w:rPr>
          <w:lang w:val="en-GB" w:eastAsia="ro-MD"/>
        </w:rPr>
        <w:t xml:space="preserve">), </w:t>
      </w:r>
      <w:r w:rsidR="00255EB6" w:rsidRPr="003101B1">
        <w:rPr>
          <w:lang w:val="en-GB" w:eastAsia="ro-MD"/>
        </w:rPr>
        <w:t>banks may include the amount of gains and losses on their liabilities in their own funds where all the following conditions are met</w:t>
      </w:r>
      <w:r w:rsidR="006843FE" w:rsidRPr="003101B1">
        <w:rPr>
          <w:lang w:val="en-GB" w:eastAsia="ro-MD"/>
        </w:rPr>
        <w:t>:</w:t>
      </w:r>
    </w:p>
    <w:p w14:paraId="220102C1" w14:textId="709C0698" w:rsidR="006843FE" w:rsidRPr="003101B1" w:rsidRDefault="006843FE" w:rsidP="002B3326">
      <w:pPr>
        <w:jc w:val="both"/>
        <w:rPr>
          <w:lang w:val="en-GB" w:eastAsia="ro-MD"/>
        </w:rPr>
      </w:pPr>
      <w:r w:rsidRPr="003101B1">
        <w:rPr>
          <w:lang w:val="en-GB" w:eastAsia="ro-MD"/>
        </w:rPr>
        <w:t xml:space="preserve">1) </w:t>
      </w:r>
      <w:r w:rsidR="00255EB6" w:rsidRPr="003101B1">
        <w:rPr>
          <w:lang w:val="en-GB" w:eastAsia="ro-MD"/>
        </w:rPr>
        <w:t>the liabilities are in the form of bonds and meet the conditions referred to in Article 112 of Law No 171/2012 on the capital market, as applicable on the date on which they were issued, or are covered bonds in accordance with the legislative acts on covered bonds</w:t>
      </w:r>
      <w:r w:rsidRPr="003101B1">
        <w:rPr>
          <w:lang w:val="en-GB" w:eastAsia="ro-MD"/>
        </w:rPr>
        <w:t>;</w:t>
      </w:r>
    </w:p>
    <w:p w14:paraId="1BD376F7" w14:textId="21FC9E33" w:rsidR="006843FE" w:rsidRPr="003101B1" w:rsidRDefault="006843FE" w:rsidP="002B3326">
      <w:pPr>
        <w:jc w:val="both"/>
        <w:rPr>
          <w:lang w:val="en-GB" w:eastAsia="ro-MD"/>
        </w:rPr>
      </w:pPr>
      <w:r w:rsidRPr="003101B1">
        <w:rPr>
          <w:lang w:val="en-GB" w:eastAsia="ro-MD"/>
        </w:rPr>
        <w:t xml:space="preserve">2) </w:t>
      </w:r>
      <w:r w:rsidR="00850D5B" w:rsidRPr="003101B1">
        <w:rPr>
          <w:lang w:val="en-GB" w:eastAsia="ro-MD"/>
        </w:rPr>
        <w:t>the changes in the value of the bank's assets and liabilities are due to the same changes in the bank's own credit standing</w:t>
      </w:r>
      <w:r w:rsidRPr="003101B1">
        <w:rPr>
          <w:lang w:val="en-GB" w:eastAsia="ro-MD"/>
        </w:rPr>
        <w:t>;</w:t>
      </w:r>
    </w:p>
    <w:p w14:paraId="1A8794D6" w14:textId="74A2AA12" w:rsidR="006843FE" w:rsidRPr="003101B1" w:rsidRDefault="006843FE" w:rsidP="002B3326">
      <w:pPr>
        <w:jc w:val="both"/>
        <w:rPr>
          <w:lang w:val="en-GB" w:eastAsia="ro-MD"/>
        </w:rPr>
      </w:pPr>
      <w:r w:rsidRPr="003101B1">
        <w:rPr>
          <w:lang w:val="en-GB" w:eastAsia="ro-MD"/>
        </w:rPr>
        <w:t xml:space="preserve">3) </w:t>
      </w:r>
      <w:r w:rsidR="00850D5B" w:rsidRPr="003101B1">
        <w:rPr>
          <w:lang w:val="en-GB" w:eastAsia="ro-MD"/>
        </w:rPr>
        <w:t xml:space="preserve">there is a close correspondence between the value of the bonds referred to in sub-paragraph </w:t>
      </w:r>
      <w:r w:rsidRPr="003101B1">
        <w:rPr>
          <w:lang w:val="en-GB" w:eastAsia="ro-MD"/>
        </w:rPr>
        <w:t xml:space="preserve">1) </w:t>
      </w:r>
      <w:r w:rsidR="00850D5B" w:rsidRPr="003101B1">
        <w:rPr>
          <w:lang w:val="en-GB" w:eastAsia="ro-MD"/>
        </w:rPr>
        <w:t>and the value of the bank's assets</w:t>
      </w:r>
      <w:r w:rsidRPr="003101B1">
        <w:rPr>
          <w:lang w:val="en-GB" w:eastAsia="ro-MD"/>
        </w:rPr>
        <w:t>;</w:t>
      </w:r>
    </w:p>
    <w:p w14:paraId="5E658492" w14:textId="695F606C" w:rsidR="006843FE" w:rsidRPr="003101B1" w:rsidRDefault="006843FE" w:rsidP="002B3326">
      <w:pPr>
        <w:jc w:val="both"/>
        <w:rPr>
          <w:lang w:val="en-GB" w:eastAsia="ro-MD"/>
        </w:rPr>
      </w:pPr>
      <w:r w:rsidRPr="003101B1">
        <w:rPr>
          <w:lang w:val="en-GB" w:eastAsia="ro-MD"/>
        </w:rPr>
        <w:t xml:space="preserve">4) </w:t>
      </w:r>
      <w:r w:rsidR="00850D5B" w:rsidRPr="003101B1">
        <w:rPr>
          <w:lang w:val="en-GB" w:eastAsia="ro-MD"/>
        </w:rPr>
        <w:t>it is possible to redeem the mortgage loans by buying back the bonds financing the mortgage loans at market or nominal value</w:t>
      </w:r>
      <w:r w:rsidRPr="003101B1">
        <w:rPr>
          <w:lang w:val="en-GB" w:eastAsia="ro-MD"/>
        </w:rPr>
        <w:t>.</w:t>
      </w:r>
    </w:p>
    <w:p w14:paraId="779BC308" w14:textId="0AA5B653" w:rsidR="006843FE" w:rsidRPr="003101B1" w:rsidRDefault="006843FE" w:rsidP="00E95446">
      <w:pPr>
        <w:jc w:val="both"/>
        <w:rPr>
          <w:lang w:val="en-GB" w:eastAsia="ro-MD"/>
        </w:rPr>
      </w:pPr>
      <w:r w:rsidRPr="003101B1">
        <w:rPr>
          <w:b/>
          <w:bCs/>
          <w:lang w:val="en-GB" w:eastAsia="ro-MD"/>
        </w:rPr>
        <w:t>27</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850D5B" w:rsidRPr="003101B1">
        <w:rPr>
          <w:lang w:val="en-GB" w:eastAsia="ro-MD"/>
        </w:rPr>
        <w:t xml:space="preserve">For the purposes of paragraph </w:t>
      </w:r>
      <w:r w:rsidRPr="003101B1">
        <w:rPr>
          <w:lang w:val="en-GB" w:eastAsia="ro-MD"/>
        </w:rPr>
        <w:t>27</w:t>
      </w:r>
      <w:r w:rsidRPr="003101B1">
        <w:rPr>
          <w:vertAlign w:val="superscript"/>
          <w:lang w:val="en-GB" w:eastAsia="ro-MD"/>
        </w:rPr>
        <w:t>1</w:t>
      </w:r>
      <w:r w:rsidRPr="003101B1">
        <w:rPr>
          <w:lang w:val="en-GB" w:eastAsia="ro-MD"/>
        </w:rPr>
        <w:t xml:space="preserve"> s</w:t>
      </w:r>
      <w:r w:rsidR="00850D5B" w:rsidRPr="003101B1">
        <w:rPr>
          <w:lang w:val="en-GB" w:eastAsia="ro-MD"/>
        </w:rPr>
        <w:t>ub-paragraph</w:t>
      </w:r>
      <w:r w:rsidRPr="003101B1">
        <w:rPr>
          <w:lang w:val="en-GB" w:eastAsia="ro-MD"/>
        </w:rPr>
        <w:t xml:space="preserve"> 3)</w:t>
      </w:r>
      <w:r w:rsidR="00780F8F" w:rsidRPr="003101B1">
        <w:rPr>
          <w:lang w:val="en-GB" w:eastAsia="ro-MD"/>
        </w:rPr>
        <w:t>,</w:t>
      </w:r>
      <w:r w:rsidRPr="003101B1">
        <w:rPr>
          <w:lang w:val="en-GB" w:eastAsia="ro-MD"/>
        </w:rPr>
        <w:t xml:space="preserve"> </w:t>
      </w:r>
      <w:r w:rsidR="00850D5B" w:rsidRPr="003101B1">
        <w:rPr>
          <w:lang w:val="en-GB" w:eastAsia="ro-MD"/>
        </w:rPr>
        <w:t>a close connection shall be deemed to exist where all of the following conditions are met</w:t>
      </w:r>
      <w:r w:rsidRPr="003101B1">
        <w:rPr>
          <w:lang w:val="en-GB" w:eastAsia="ro-MD"/>
        </w:rPr>
        <w:t>:</w:t>
      </w:r>
    </w:p>
    <w:p w14:paraId="2D95FC9F" w14:textId="4F4730DE" w:rsidR="006843FE" w:rsidRPr="003101B1" w:rsidRDefault="006843FE" w:rsidP="002B3326">
      <w:pPr>
        <w:jc w:val="both"/>
        <w:rPr>
          <w:lang w:val="en-GB" w:eastAsia="ro-MD"/>
        </w:rPr>
      </w:pPr>
      <w:r w:rsidRPr="003101B1">
        <w:rPr>
          <w:lang w:val="en-GB" w:eastAsia="ro-MD"/>
        </w:rPr>
        <w:t xml:space="preserve">1) </w:t>
      </w:r>
      <w:r w:rsidR="00FA4305" w:rsidRPr="003101B1">
        <w:rPr>
          <w:lang w:val="en-GB" w:eastAsia="ro-MD"/>
        </w:rPr>
        <w:t>any change in the fair value of the bonds issued by the bank results, at all times, in equivalent changes in the fair value of the assets underlying the bonds</w:t>
      </w:r>
      <w:r w:rsidRPr="003101B1">
        <w:rPr>
          <w:lang w:val="en-GB" w:eastAsia="ro-MD"/>
        </w:rPr>
        <w:t>.</w:t>
      </w:r>
    </w:p>
    <w:p w14:paraId="6E093D32" w14:textId="0F47C83D" w:rsidR="006843FE" w:rsidRPr="003101B1" w:rsidRDefault="006843FE" w:rsidP="002B3326">
      <w:pPr>
        <w:jc w:val="both"/>
        <w:rPr>
          <w:lang w:val="en-GB" w:eastAsia="ro-MD"/>
        </w:rPr>
      </w:pPr>
      <w:r w:rsidRPr="003101B1">
        <w:rPr>
          <w:lang w:val="en-GB" w:eastAsia="ro-MD"/>
        </w:rPr>
        <w:t xml:space="preserve">2) </w:t>
      </w:r>
      <w:r w:rsidR="00FA4305" w:rsidRPr="003101B1">
        <w:rPr>
          <w:lang w:val="en-GB" w:eastAsia="ro-MD"/>
        </w:rPr>
        <w:t>the mortgage loans underlying the bonds issued by the bank to finance the loans can, at any time, be repaid by repurchasing the bonds at market or nominal value</w:t>
      </w:r>
      <w:r w:rsidRPr="003101B1">
        <w:rPr>
          <w:lang w:val="en-GB" w:eastAsia="ro-MD"/>
        </w:rPr>
        <w:t>;</w:t>
      </w:r>
    </w:p>
    <w:p w14:paraId="737D9468" w14:textId="47A5DBAF" w:rsidR="006843FE" w:rsidRPr="003101B1" w:rsidRDefault="006843FE" w:rsidP="002B3326">
      <w:pPr>
        <w:jc w:val="both"/>
        <w:rPr>
          <w:lang w:val="en-GB" w:eastAsia="ro-MD"/>
        </w:rPr>
      </w:pPr>
      <w:r w:rsidRPr="003101B1">
        <w:rPr>
          <w:lang w:val="en-GB" w:eastAsia="ro-MD"/>
        </w:rPr>
        <w:t xml:space="preserve">3) </w:t>
      </w:r>
      <w:r w:rsidR="00FA4305" w:rsidRPr="003101B1">
        <w:rPr>
          <w:lang w:val="en-GB" w:eastAsia="ro-MD"/>
        </w:rPr>
        <w:t>there is a transparent mechanism for determining the fair value of mortgages and bonds. Determining the value of mortgages includes calculating the fair value of the delivery option</w:t>
      </w:r>
      <w:r w:rsidRPr="003101B1">
        <w:rPr>
          <w:lang w:val="en-GB" w:eastAsia="ro-MD"/>
        </w:rPr>
        <w:t>.</w:t>
      </w:r>
    </w:p>
    <w:p w14:paraId="0A32629A" w14:textId="1384AB69" w:rsidR="0032258E" w:rsidRPr="003101B1" w:rsidRDefault="00FA4305" w:rsidP="002B3326">
      <w:pPr>
        <w:jc w:val="both"/>
        <w:rPr>
          <w:lang w:val="en-GB" w:eastAsia="ro-MD"/>
        </w:rPr>
      </w:pPr>
      <w:r w:rsidRPr="003101B1">
        <w:rPr>
          <w:lang w:val="en-GB" w:eastAsia="ro-MD"/>
        </w:rPr>
        <w:t xml:space="preserve">A close connection shall not be deemed to exist where, in accordance with </w:t>
      </w:r>
      <w:r w:rsidR="00347055" w:rsidRPr="003101B1">
        <w:rPr>
          <w:lang w:val="en-GB" w:eastAsia="ro-MD"/>
        </w:rPr>
        <w:t>sub-paragraphs</w:t>
      </w:r>
      <w:r w:rsidRPr="003101B1">
        <w:rPr>
          <w:lang w:val="en-GB" w:eastAsia="ro-MD"/>
        </w:rPr>
        <w:t xml:space="preserve"> 1)</w:t>
      </w:r>
      <w:r w:rsidR="00347055" w:rsidRPr="003101B1">
        <w:rPr>
          <w:lang w:val="en-GB" w:eastAsia="ro-MD"/>
        </w:rPr>
        <w:t>-</w:t>
      </w:r>
      <w:r w:rsidRPr="003101B1">
        <w:rPr>
          <w:lang w:val="en-GB" w:eastAsia="ro-MD"/>
        </w:rPr>
        <w:t>3), a net profit or loss arises from changes in the value of the underlying bonds or mortgages with the embedded delivery option</w:t>
      </w:r>
      <w:r w:rsidR="006843FE" w:rsidRPr="003101B1">
        <w:rPr>
          <w:lang w:val="en-GB" w:eastAsia="ro-MD"/>
        </w:rPr>
        <w:t>.</w:t>
      </w:r>
    </w:p>
    <w:p w14:paraId="4A615E3D" w14:textId="3F37B3CA" w:rsidR="00E72B0D" w:rsidRPr="003101B1" w:rsidRDefault="0032258E" w:rsidP="002B3326">
      <w:pPr>
        <w:jc w:val="both"/>
        <w:rPr>
          <w:lang w:val="en-GB" w:eastAsia="ro-MD"/>
        </w:rPr>
      </w:pPr>
      <w:r w:rsidRPr="003101B1">
        <w:rPr>
          <w:b/>
          <w:bCs/>
          <w:lang w:val="en-GB" w:eastAsia="ro-MD"/>
        </w:rPr>
        <w:t>27</w:t>
      </w:r>
      <w:r w:rsidRPr="003101B1">
        <w:rPr>
          <w:b/>
          <w:bCs/>
          <w:vertAlign w:val="superscript"/>
          <w:lang w:val="en-GB" w:eastAsia="ro-MD"/>
        </w:rPr>
        <w:t>3</w:t>
      </w:r>
      <w:r w:rsidRPr="003101B1">
        <w:rPr>
          <w:b/>
          <w:bCs/>
          <w:lang w:val="en-GB" w:eastAsia="ro-MD"/>
        </w:rPr>
        <w:t>.</w:t>
      </w:r>
      <w:r w:rsidRPr="003101B1">
        <w:rPr>
          <w:lang w:val="en-GB" w:eastAsia="ro-MD"/>
        </w:rPr>
        <w:t xml:space="preserve"> </w:t>
      </w:r>
      <w:r w:rsidR="00FA4305" w:rsidRPr="003101B1">
        <w:rPr>
          <w:lang w:val="en-GB" w:eastAsia="ro-MD"/>
        </w:rPr>
        <w:t xml:space="preserve">For the purposes of paragraph </w:t>
      </w:r>
      <w:r w:rsidRPr="003101B1">
        <w:rPr>
          <w:lang w:val="en-GB" w:eastAsia="ro-MD"/>
        </w:rPr>
        <w:t>27</w:t>
      </w:r>
      <w:r w:rsidRPr="003101B1">
        <w:rPr>
          <w:vertAlign w:val="superscript"/>
          <w:lang w:val="en-GB" w:eastAsia="ro-MD"/>
        </w:rPr>
        <w:t>2</w:t>
      </w:r>
      <w:r w:rsidRPr="003101B1">
        <w:rPr>
          <w:lang w:val="en-GB" w:eastAsia="ro-MD"/>
        </w:rPr>
        <w:t xml:space="preserve">, </w:t>
      </w:r>
      <w:r w:rsidR="00FA4305" w:rsidRPr="003101B1">
        <w:rPr>
          <w:lang w:val="en-GB" w:eastAsia="ro-MD"/>
        </w:rPr>
        <w:t>the delivery option is the possibility to repay the mortgage loan by repurchasing the covered bond at market or nominal value in accordance with paragraph</w:t>
      </w:r>
      <w:r w:rsidRPr="003101B1">
        <w:rPr>
          <w:lang w:val="en-GB" w:eastAsia="ro-MD"/>
        </w:rPr>
        <w:t xml:space="preserve"> 27</w:t>
      </w:r>
      <w:r w:rsidRPr="003101B1">
        <w:rPr>
          <w:vertAlign w:val="superscript"/>
          <w:lang w:val="en-GB" w:eastAsia="ro-MD"/>
        </w:rPr>
        <w:t>1</w:t>
      </w:r>
      <w:r w:rsidRPr="003101B1">
        <w:rPr>
          <w:lang w:val="en-GB" w:eastAsia="ro-MD"/>
        </w:rPr>
        <w:t xml:space="preserve"> </w:t>
      </w:r>
      <w:r w:rsidR="00FA4305" w:rsidRPr="003101B1">
        <w:rPr>
          <w:lang w:val="en-GB" w:eastAsia="ro-MD"/>
        </w:rPr>
        <w:t>sub-paragraph</w:t>
      </w:r>
      <w:r w:rsidRPr="003101B1">
        <w:rPr>
          <w:lang w:val="en-GB" w:eastAsia="ro-MD"/>
        </w:rPr>
        <w:t xml:space="preserve"> 4).</w:t>
      </w:r>
      <w:r w:rsidR="006843FE" w:rsidRPr="003101B1">
        <w:rPr>
          <w:lang w:val="en-GB" w:eastAsia="ro-MD"/>
        </w:rPr>
        <w:t>”.</w:t>
      </w:r>
    </w:p>
    <w:p w14:paraId="74778061" w14:textId="5BAC2C30" w:rsidR="00E72B0D" w:rsidRPr="003101B1" w:rsidRDefault="00FA4305" w:rsidP="00E91829">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B63FA9" w:rsidRPr="003101B1">
        <w:rPr>
          <w:lang w:val="en-GB" w:eastAsia="ro-MD"/>
        </w:rPr>
        <w:t xml:space="preserve"> 30</w:t>
      </w:r>
      <w:r w:rsidR="00E72B0D" w:rsidRPr="003101B1">
        <w:rPr>
          <w:lang w:val="en-GB" w:eastAsia="ro-MD"/>
        </w:rPr>
        <w:t>:</w:t>
      </w:r>
    </w:p>
    <w:p w14:paraId="501243D4" w14:textId="71D0A0D8" w:rsidR="00E72B0D" w:rsidRPr="003101B1" w:rsidRDefault="00FA4305" w:rsidP="00FF10CA">
      <w:pPr>
        <w:pStyle w:val="ListParagraph"/>
        <w:numPr>
          <w:ilvl w:val="2"/>
          <w:numId w:val="27"/>
        </w:numPr>
        <w:tabs>
          <w:tab w:val="left" w:pos="720"/>
        </w:tabs>
        <w:ind w:left="0" w:firstLine="568"/>
        <w:jc w:val="both"/>
        <w:rPr>
          <w:lang w:val="en-GB" w:eastAsia="ro-MD"/>
        </w:rPr>
      </w:pPr>
      <w:r w:rsidRPr="003101B1">
        <w:rPr>
          <w:lang w:val="en-GB" w:eastAsia="ro-MD"/>
        </w:rPr>
        <w:t>sub-paragraph</w:t>
      </w:r>
      <w:r w:rsidR="00B63FA9" w:rsidRPr="003101B1">
        <w:rPr>
          <w:lang w:val="en-GB" w:eastAsia="ro-MD"/>
        </w:rPr>
        <w:t xml:space="preserve"> 2) </w:t>
      </w:r>
      <w:r w:rsidRPr="003101B1">
        <w:rPr>
          <w:lang w:val="en-GB" w:eastAsia="ro-MD"/>
        </w:rPr>
        <w:t>shall be supplemented with the following text</w:t>
      </w:r>
      <w:r w:rsidR="00B63FA9" w:rsidRPr="003101B1">
        <w:rPr>
          <w:lang w:val="en-GB" w:eastAsia="ro-MD"/>
        </w:rPr>
        <w:t xml:space="preserve"> </w:t>
      </w:r>
      <w:r w:rsidRPr="003101B1">
        <w:rPr>
          <w:lang w:val="en-GB" w:eastAsia="ro-MD"/>
        </w:rPr>
        <w:t>“</w:t>
      </w:r>
      <w:r w:rsidR="00B63FA9" w:rsidRPr="003101B1">
        <w:rPr>
          <w:lang w:val="en-GB" w:eastAsia="ro-MD"/>
        </w:rPr>
        <w:t>,</w:t>
      </w:r>
      <w:r w:rsidR="00E72B0D" w:rsidRPr="003101B1">
        <w:rPr>
          <w:lang w:val="en-GB" w:eastAsia="ro-MD"/>
        </w:rPr>
        <w:t xml:space="preserve"> </w:t>
      </w:r>
      <w:r w:rsidRPr="003101B1">
        <w:rPr>
          <w:lang w:val="en-GB" w:eastAsia="ro-MD"/>
        </w:rPr>
        <w:t>excluding prudently valued software assets the value of which is not negatively affected by the resolution, insolvency or liquidation of the bank</w:t>
      </w:r>
      <w:r w:rsidR="00E72B0D" w:rsidRPr="003101B1">
        <w:rPr>
          <w:lang w:val="en-GB" w:eastAsia="ro-MD"/>
        </w:rPr>
        <w:t>”;</w:t>
      </w:r>
    </w:p>
    <w:p w14:paraId="51964E2D" w14:textId="2768CDA0" w:rsidR="00E95446" w:rsidRPr="003101B1" w:rsidRDefault="00FA4305" w:rsidP="00FF10CA">
      <w:pPr>
        <w:pStyle w:val="ListParagraph"/>
        <w:numPr>
          <w:ilvl w:val="2"/>
          <w:numId w:val="27"/>
        </w:numPr>
        <w:tabs>
          <w:tab w:val="left" w:pos="720"/>
        </w:tabs>
        <w:ind w:left="0" w:firstLine="568"/>
        <w:jc w:val="both"/>
        <w:rPr>
          <w:lang w:val="en-GB" w:eastAsia="ro-MD"/>
        </w:rPr>
      </w:pPr>
      <w:r w:rsidRPr="003101B1">
        <w:rPr>
          <w:lang w:val="en-GB" w:eastAsia="ro-MD"/>
        </w:rPr>
        <w:t>paragraph</w:t>
      </w:r>
      <w:r w:rsidR="00E72B0D" w:rsidRPr="003101B1">
        <w:rPr>
          <w:lang w:val="en-GB" w:eastAsia="ro-MD"/>
        </w:rPr>
        <w:t xml:space="preserve"> 3</w:t>
      </w:r>
      <w:r w:rsidR="00E72B0D" w:rsidRPr="003101B1">
        <w:rPr>
          <w:vertAlign w:val="superscript"/>
          <w:lang w:val="en-GB" w:eastAsia="ro-MD"/>
        </w:rPr>
        <w:t>1</w:t>
      </w:r>
      <w:r w:rsidR="00E72B0D" w:rsidRPr="003101B1">
        <w:rPr>
          <w:lang w:val="en-GB" w:eastAsia="ro-MD"/>
        </w:rPr>
        <w:t xml:space="preserve">) </w:t>
      </w:r>
      <w:r w:rsidRPr="003101B1">
        <w:rPr>
          <w:lang w:val="en-GB" w:eastAsia="ro-MD"/>
        </w:rPr>
        <w:t>shall be added with the following content</w:t>
      </w:r>
      <w:r w:rsidR="00E95446" w:rsidRPr="003101B1">
        <w:rPr>
          <w:lang w:val="en-GB" w:eastAsia="ro-MD"/>
        </w:rPr>
        <w:t>:</w:t>
      </w:r>
    </w:p>
    <w:p w14:paraId="0BEA6330" w14:textId="241E5EA2" w:rsidR="00E72B0D" w:rsidRPr="003101B1" w:rsidRDefault="00FA4305" w:rsidP="00E95446">
      <w:pPr>
        <w:tabs>
          <w:tab w:val="left" w:pos="720"/>
        </w:tabs>
        <w:jc w:val="both"/>
        <w:rPr>
          <w:lang w:val="en-GB" w:eastAsia="ro-MD"/>
        </w:rPr>
      </w:pPr>
      <w:r w:rsidRPr="003101B1">
        <w:rPr>
          <w:lang w:val="en-GB" w:eastAsia="ro-MD"/>
        </w:rPr>
        <w:t>“</w:t>
      </w:r>
      <w:r w:rsidR="00E72B0D" w:rsidRPr="003101B1">
        <w:rPr>
          <w:lang w:val="en-GB" w:eastAsia="ro-MD"/>
        </w:rPr>
        <w:t>3</w:t>
      </w:r>
      <w:r w:rsidR="00E72B0D" w:rsidRPr="003101B1">
        <w:rPr>
          <w:vertAlign w:val="superscript"/>
          <w:lang w:val="en-GB" w:eastAsia="ro-MD"/>
        </w:rPr>
        <w:t>1</w:t>
      </w:r>
      <w:r w:rsidR="00E72B0D" w:rsidRPr="003101B1">
        <w:rPr>
          <w:lang w:val="en-GB" w:eastAsia="ro-MD"/>
        </w:rPr>
        <w:t xml:space="preserve">) </w:t>
      </w:r>
      <w:r w:rsidR="00211C16" w:rsidRPr="003101B1">
        <w:rPr>
          <w:lang w:val="en-GB" w:eastAsia="ro-MD"/>
        </w:rPr>
        <w:t>for banks calculating risk-weighted exposure amounts using the Internal Ratings Based Approach (IRB Approach), the IRB shortfall, where applicable, calculated in accordance with the National Bank of Moldova normative act on the treatment of credit risk under the IRB Approach</w:t>
      </w:r>
      <w:r w:rsidR="00E72B0D" w:rsidRPr="003101B1">
        <w:rPr>
          <w:lang w:val="en-GB" w:eastAsia="ro-MD"/>
        </w:rPr>
        <w:t>;</w:t>
      </w:r>
      <w:r w:rsidR="00E95446" w:rsidRPr="003101B1">
        <w:rPr>
          <w:lang w:val="en-GB" w:eastAsia="ro-MD"/>
        </w:rPr>
        <w:t>”;</w:t>
      </w:r>
    </w:p>
    <w:p w14:paraId="169D5C72" w14:textId="5253F1CA" w:rsidR="00E72B0D" w:rsidRPr="003101B1" w:rsidRDefault="00D77DA5" w:rsidP="00FF10CA">
      <w:pPr>
        <w:pStyle w:val="ListParagraph"/>
        <w:numPr>
          <w:ilvl w:val="2"/>
          <w:numId w:val="27"/>
        </w:numPr>
        <w:tabs>
          <w:tab w:val="left" w:pos="720"/>
        </w:tabs>
        <w:ind w:left="0" w:firstLine="568"/>
        <w:jc w:val="both"/>
        <w:rPr>
          <w:lang w:val="en-GB" w:eastAsia="ro-MD"/>
        </w:rPr>
      </w:pPr>
      <w:r w:rsidRPr="003101B1">
        <w:rPr>
          <w:lang w:val="en-GB" w:eastAsia="ro-MD"/>
        </w:rPr>
        <w:t xml:space="preserve">in </w:t>
      </w:r>
      <w:r w:rsidR="00E72B0D" w:rsidRPr="003101B1">
        <w:rPr>
          <w:lang w:val="en-GB" w:eastAsia="ro-MD"/>
        </w:rPr>
        <w:t>sub</w:t>
      </w:r>
      <w:r w:rsidR="00211C16" w:rsidRPr="003101B1">
        <w:rPr>
          <w:lang w:val="en-GB" w:eastAsia="ro-MD"/>
        </w:rPr>
        <w:t xml:space="preserve">-paragraph </w:t>
      </w:r>
      <w:r w:rsidR="00E72B0D" w:rsidRPr="003101B1">
        <w:rPr>
          <w:lang w:val="en-GB" w:eastAsia="ro-MD"/>
        </w:rPr>
        <w:t>6)</w:t>
      </w:r>
      <w:r w:rsidR="00780F8F" w:rsidRPr="003101B1">
        <w:rPr>
          <w:lang w:val="en-GB" w:eastAsia="ro-MD"/>
        </w:rPr>
        <w:t>,</w:t>
      </w:r>
      <w:r w:rsidR="00E72B0D" w:rsidRPr="003101B1">
        <w:rPr>
          <w:lang w:val="en-GB" w:eastAsia="ro-MD"/>
        </w:rPr>
        <w:t xml:space="preserve"> </w:t>
      </w:r>
      <w:r w:rsidRPr="003101B1">
        <w:rPr>
          <w:lang w:val="en-GB" w:eastAsia="ro-MD"/>
        </w:rPr>
        <w:t>after the text</w:t>
      </w:r>
      <w:r w:rsidR="00E72B0D" w:rsidRPr="003101B1">
        <w:rPr>
          <w:lang w:val="en-GB" w:eastAsia="ro-MD"/>
        </w:rPr>
        <w:t xml:space="preserve"> </w:t>
      </w:r>
      <w:r w:rsidRPr="003101B1">
        <w:rPr>
          <w:lang w:val="en-GB" w:eastAsia="ro-MD"/>
        </w:rPr>
        <w:t>“in the financial sector</w:t>
      </w:r>
      <w:r w:rsidR="002C6128" w:rsidRPr="003101B1">
        <w:rPr>
          <w:lang w:val="en-GB" w:eastAsia="ro-MD"/>
        </w:rPr>
        <w:t>,</w:t>
      </w:r>
      <w:r w:rsidR="00E72B0D" w:rsidRPr="003101B1">
        <w:rPr>
          <w:lang w:val="en-GB" w:eastAsia="ro-MD"/>
        </w:rPr>
        <w:t xml:space="preserve">” </w:t>
      </w:r>
      <w:r w:rsidRPr="003101B1">
        <w:rPr>
          <w:lang w:val="en-GB" w:eastAsia="ro-MD"/>
        </w:rPr>
        <w:t>shall be supplemented by the words</w:t>
      </w:r>
      <w:r w:rsidR="00E72B0D" w:rsidRPr="003101B1">
        <w:rPr>
          <w:lang w:val="en-GB" w:eastAsia="ro-MD"/>
        </w:rPr>
        <w:t xml:space="preserve"> </w:t>
      </w:r>
      <w:r w:rsidRPr="003101B1">
        <w:rPr>
          <w:lang w:val="en-GB" w:eastAsia="ro-MD"/>
        </w:rPr>
        <w:t>“where those entities and the bank have a reciprocal cross holding</w:t>
      </w:r>
      <w:r w:rsidR="00E72B0D" w:rsidRPr="003101B1">
        <w:rPr>
          <w:lang w:val="en-GB" w:eastAsia="ro-MD"/>
        </w:rPr>
        <w:t>,”;</w:t>
      </w:r>
    </w:p>
    <w:p w14:paraId="04074894" w14:textId="666DAAF5" w:rsidR="00C33C72" w:rsidRPr="003101B1" w:rsidRDefault="00D77DA5" w:rsidP="00FF10CA">
      <w:pPr>
        <w:pStyle w:val="ListParagraph"/>
        <w:numPr>
          <w:ilvl w:val="2"/>
          <w:numId w:val="27"/>
        </w:numPr>
        <w:tabs>
          <w:tab w:val="left" w:pos="720"/>
        </w:tabs>
        <w:ind w:left="0" w:firstLine="568"/>
        <w:jc w:val="both"/>
        <w:rPr>
          <w:lang w:val="en-GB" w:eastAsia="ro-MD"/>
        </w:rPr>
      </w:pPr>
      <w:r w:rsidRPr="003101B1">
        <w:rPr>
          <w:lang w:val="en-GB" w:eastAsia="ro-MD"/>
        </w:rPr>
        <w:t>in sub-paragraph</w:t>
      </w:r>
      <w:r w:rsidR="002C6128" w:rsidRPr="003101B1">
        <w:rPr>
          <w:lang w:val="en-GB" w:eastAsia="ro-MD"/>
        </w:rPr>
        <w:t xml:space="preserve"> 9)</w:t>
      </w:r>
      <w:r w:rsidR="00780F8F" w:rsidRPr="003101B1">
        <w:rPr>
          <w:lang w:val="en-GB" w:eastAsia="ro-MD"/>
        </w:rPr>
        <w:t>,</w:t>
      </w:r>
      <w:r w:rsidR="002C6128" w:rsidRPr="003101B1">
        <w:rPr>
          <w:lang w:val="en-GB" w:eastAsia="ro-MD"/>
        </w:rPr>
        <w:t xml:space="preserve"> </w:t>
      </w:r>
      <w:r w:rsidR="00441A14" w:rsidRPr="003101B1">
        <w:rPr>
          <w:lang w:val="en-GB" w:eastAsia="ro-MD"/>
        </w:rPr>
        <w:t xml:space="preserve">after </w:t>
      </w:r>
      <w:r w:rsidRPr="003101B1">
        <w:rPr>
          <w:lang w:val="en-GB" w:eastAsia="ro-MD"/>
        </w:rPr>
        <w:t>the words</w:t>
      </w:r>
      <w:r w:rsidR="00C33C72" w:rsidRPr="003101B1">
        <w:rPr>
          <w:lang w:val="en-GB" w:eastAsia="ro-MD"/>
        </w:rPr>
        <w:t xml:space="preserve"> </w:t>
      </w:r>
      <w:r w:rsidRPr="003101B1">
        <w:rPr>
          <w:lang w:val="en-GB" w:eastAsia="ro-MD"/>
        </w:rPr>
        <w:t>“</w:t>
      </w:r>
      <w:r w:rsidR="00441A14" w:rsidRPr="003101B1">
        <w:rPr>
          <w:lang w:val="en-GB"/>
        </w:rPr>
        <w:t>additional Tier 1 own funds</w:t>
      </w:r>
      <w:r w:rsidR="00C33C72" w:rsidRPr="003101B1">
        <w:rPr>
          <w:lang w:val="en-GB" w:eastAsia="ro-MD"/>
        </w:rPr>
        <w:t xml:space="preserve">” </w:t>
      </w:r>
      <w:r w:rsidR="00441A14" w:rsidRPr="003101B1">
        <w:rPr>
          <w:lang w:val="en-GB" w:eastAsia="ro-MD"/>
        </w:rPr>
        <w:t>the word</w:t>
      </w:r>
      <w:r w:rsidR="00C33C72" w:rsidRPr="003101B1">
        <w:rPr>
          <w:lang w:val="en-GB" w:eastAsia="ro-MD"/>
        </w:rPr>
        <w:t xml:space="preserve"> </w:t>
      </w:r>
      <w:r w:rsidR="00441A14" w:rsidRPr="003101B1">
        <w:rPr>
          <w:lang w:val="en-GB" w:eastAsia="ro-MD"/>
        </w:rPr>
        <w:t>“items</w:t>
      </w:r>
      <w:r w:rsidR="00C33C72" w:rsidRPr="003101B1">
        <w:rPr>
          <w:lang w:val="en-GB" w:eastAsia="ro-MD"/>
        </w:rPr>
        <w:t>”</w:t>
      </w:r>
      <w:r w:rsidR="00441A14" w:rsidRPr="003101B1">
        <w:rPr>
          <w:lang w:val="en-GB" w:eastAsia="ro-MD"/>
        </w:rPr>
        <w:t xml:space="preserve"> shall be added</w:t>
      </w:r>
      <w:r w:rsidR="00C33C72" w:rsidRPr="003101B1">
        <w:rPr>
          <w:lang w:val="en-GB" w:eastAsia="ro-MD"/>
        </w:rPr>
        <w:t>;</w:t>
      </w:r>
    </w:p>
    <w:p w14:paraId="2D0E4473" w14:textId="4FD5AE85" w:rsidR="00E95446" w:rsidRPr="003101B1" w:rsidRDefault="00C33C72" w:rsidP="00FF10CA">
      <w:pPr>
        <w:pStyle w:val="ListParagraph"/>
        <w:numPr>
          <w:ilvl w:val="2"/>
          <w:numId w:val="27"/>
        </w:numPr>
        <w:tabs>
          <w:tab w:val="left" w:pos="720"/>
        </w:tabs>
        <w:ind w:left="0" w:firstLine="568"/>
        <w:jc w:val="both"/>
        <w:rPr>
          <w:lang w:val="en-GB" w:eastAsia="ro-MD"/>
        </w:rPr>
      </w:pPr>
      <w:r w:rsidRPr="003101B1">
        <w:rPr>
          <w:lang w:val="en-GB" w:eastAsia="ro-MD"/>
        </w:rPr>
        <w:t>sub</w:t>
      </w:r>
      <w:r w:rsidR="00441A14" w:rsidRPr="003101B1">
        <w:rPr>
          <w:lang w:val="en-GB" w:eastAsia="ro-MD"/>
        </w:rPr>
        <w:t>-paragraph</w:t>
      </w:r>
      <w:r w:rsidRPr="003101B1">
        <w:rPr>
          <w:lang w:val="en-GB" w:eastAsia="ro-MD"/>
        </w:rPr>
        <w:t xml:space="preserve"> 10) </w:t>
      </w:r>
      <w:r w:rsidR="00441A14" w:rsidRPr="003101B1">
        <w:rPr>
          <w:lang w:val="en-GB" w:eastAsia="ro-MD"/>
        </w:rPr>
        <w:t>shall read as follows</w:t>
      </w:r>
      <w:r w:rsidR="00E95446" w:rsidRPr="003101B1">
        <w:rPr>
          <w:lang w:val="en-GB" w:eastAsia="ro-MD"/>
        </w:rPr>
        <w:t>:</w:t>
      </w:r>
    </w:p>
    <w:p w14:paraId="7BAE5556" w14:textId="2B2AE1B3" w:rsidR="00C33C72" w:rsidRPr="003101B1" w:rsidRDefault="00441A14" w:rsidP="00E95446">
      <w:pPr>
        <w:tabs>
          <w:tab w:val="left" w:pos="720"/>
        </w:tabs>
        <w:jc w:val="both"/>
        <w:rPr>
          <w:lang w:val="en-GB" w:eastAsia="ro-MD"/>
        </w:rPr>
      </w:pPr>
      <w:r w:rsidRPr="003101B1">
        <w:rPr>
          <w:lang w:val="en-GB" w:eastAsia="ro-MD"/>
        </w:rPr>
        <w:t>“</w:t>
      </w:r>
      <w:r w:rsidR="0079146B" w:rsidRPr="003101B1">
        <w:rPr>
          <w:lang w:val="en-GB" w:eastAsia="ro-MD"/>
        </w:rPr>
        <w:t>the exposure amount of the following items which qualify for a 1 000 % risk weight, where the bank deducts that exposure amount from the amount of Common Equity Tier 1 items as an alternative to applying a 1 000 % risk weight</w:t>
      </w:r>
      <w:r w:rsidR="00C33C72" w:rsidRPr="003101B1">
        <w:rPr>
          <w:lang w:val="en-GB" w:eastAsia="ro-MD"/>
        </w:rPr>
        <w:t>:</w:t>
      </w:r>
    </w:p>
    <w:p w14:paraId="6A0CCA49" w14:textId="5DD0B3CF" w:rsidR="00C33C72" w:rsidRPr="003101B1" w:rsidRDefault="00C33C72" w:rsidP="00E95446">
      <w:pPr>
        <w:ind w:firstLine="568"/>
        <w:jc w:val="both"/>
        <w:rPr>
          <w:lang w:val="en-GB" w:eastAsia="ro-MD"/>
        </w:rPr>
      </w:pPr>
      <w:r w:rsidRPr="003101B1">
        <w:rPr>
          <w:lang w:val="en-GB" w:eastAsia="ro-MD"/>
        </w:rPr>
        <w:t xml:space="preserve">a) </w:t>
      </w:r>
      <w:r w:rsidR="0079146B" w:rsidRPr="003101B1">
        <w:rPr>
          <w:lang w:val="en-GB" w:eastAsia="ro-MD"/>
        </w:rPr>
        <w:t>qualifying holdings outside the financial sector</w:t>
      </w:r>
      <w:r w:rsidRPr="003101B1">
        <w:rPr>
          <w:lang w:val="en-GB" w:eastAsia="ro-MD"/>
        </w:rPr>
        <w:t>;</w:t>
      </w:r>
    </w:p>
    <w:p w14:paraId="07B95114" w14:textId="13909DA8" w:rsidR="00C33C72" w:rsidRPr="003101B1" w:rsidRDefault="00C33C72" w:rsidP="00E95446">
      <w:pPr>
        <w:ind w:firstLine="568"/>
        <w:jc w:val="both"/>
        <w:rPr>
          <w:lang w:val="en-GB" w:eastAsia="ro-MD"/>
        </w:rPr>
      </w:pPr>
      <w:r w:rsidRPr="003101B1">
        <w:rPr>
          <w:lang w:val="en-GB" w:eastAsia="ro-MD"/>
        </w:rPr>
        <w:t xml:space="preserve">b) </w:t>
      </w:r>
      <w:r w:rsidR="0079146B" w:rsidRPr="003101B1">
        <w:rPr>
          <w:lang w:val="en-GB" w:eastAsia="ro-MD"/>
        </w:rPr>
        <w:t>securitisation positions, in accordance with the Regulation on the prudential treatment of securitisations, approved by Decision of the Executive Board of the National Bank of Moldova No 221/2025</w:t>
      </w:r>
      <w:r w:rsidRPr="003101B1">
        <w:rPr>
          <w:lang w:val="en-GB" w:eastAsia="ro-MD"/>
        </w:rPr>
        <w:t>;</w:t>
      </w:r>
    </w:p>
    <w:p w14:paraId="6B6817B9" w14:textId="19784825" w:rsidR="00C33C72" w:rsidRPr="003101B1" w:rsidRDefault="00C33C72" w:rsidP="00E95446">
      <w:pPr>
        <w:ind w:firstLine="568"/>
        <w:jc w:val="both"/>
        <w:rPr>
          <w:lang w:val="en-GB" w:eastAsia="ro-MD"/>
        </w:rPr>
      </w:pPr>
      <w:r w:rsidRPr="003101B1">
        <w:rPr>
          <w:lang w:val="en-GB" w:eastAsia="ro-MD"/>
        </w:rPr>
        <w:t xml:space="preserve">c) </w:t>
      </w:r>
      <w:r w:rsidR="00027C5E" w:rsidRPr="003101B1">
        <w:rPr>
          <w:lang w:val="en-GB" w:eastAsia="ro-MD"/>
        </w:rPr>
        <w:t>free deliveries, in accordance with the Regulation on the treatment of settlement/delivery risk for banks, approved by Decision of the Executive Board of the National Bank of Moldova No 115/2018 (hereinafter – Regulation No115/2018</w:t>
      </w:r>
      <w:r w:rsidR="00A96C10" w:rsidRPr="003101B1">
        <w:rPr>
          <w:lang w:val="en-GB" w:eastAsia="ro-MD"/>
        </w:rPr>
        <w:t>)</w:t>
      </w:r>
      <w:r w:rsidRPr="003101B1">
        <w:rPr>
          <w:lang w:val="en-GB" w:eastAsia="ro-MD"/>
        </w:rPr>
        <w:t>;</w:t>
      </w:r>
    </w:p>
    <w:p w14:paraId="1362FB89" w14:textId="013374CA" w:rsidR="00C33C72" w:rsidRPr="003101B1" w:rsidRDefault="00C33C72" w:rsidP="00E95446">
      <w:pPr>
        <w:ind w:firstLine="568"/>
        <w:jc w:val="both"/>
        <w:rPr>
          <w:lang w:val="en-GB" w:eastAsia="ro-MD"/>
        </w:rPr>
      </w:pPr>
      <w:r w:rsidRPr="003101B1">
        <w:rPr>
          <w:lang w:val="en-GB" w:eastAsia="ro-MD"/>
        </w:rPr>
        <w:t xml:space="preserve">d) </w:t>
      </w:r>
      <w:r w:rsidR="006B218D" w:rsidRPr="003101B1">
        <w:rPr>
          <w:lang w:val="en-GB" w:eastAsia="ro-MD"/>
        </w:rPr>
        <w:t>positions in a basket for which the bank cannot determine the risk weight under the IRB Approach in accordance with the National Bank of Moldova regulatory act on the treatment of credit risk under the IRB Approach</w:t>
      </w:r>
      <w:r w:rsidRPr="003101B1">
        <w:rPr>
          <w:lang w:val="en-GB" w:eastAsia="ro-MD"/>
        </w:rPr>
        <w:t>;</w:t>
      </w:r>
    </w:p>
    <w:p w14:paraId="257BB7A2" w14:textId="07C651CD" w:rsidR="00C33C72" w:rsidRPr="003101B1" w:rsidRDefault="00C33C72" w:rsidP="00E95446">
      <w:pPr>
        <w:tabs>
          <w:tab w:val="left" w:pos="720"/>
        </w:tabs>
        <w:ind w:firstLine="568"/>
        <w:jc w:val="both"/>
        <w:rPr>
          <w:lang w:val="en-GB" w:eastAsia="ro-MD"/>
        </w:rPr>
      </w:pPr>
      <w:r w:rsidRPr="003101B1">
        <w:rPr>
          <w:lang w:val="en-GB" w:eastAsia="ro-MD"/>
        </w:rPr>
        <w:t xml:space="preserve">e) </w:t>
      </w:r>
      <w:r w:rsidR="00FD6C2B" w:rsidRPr="003101B1">
        <w:rPr>
          <w:lang w:val="en-GB" w:eastAsia="ro-MD"/>
        </w:rPr>
        <w:t>exposures in the form of units or shares in a collective investment undertaking (CIU) which are assigned a 1 000 % risk weight in accordance with Regulation No 111/2018.</w:t>
      </w:r>
      <w:r w:rsidRPr="003101B1">
        <w:rPr>
          <w:lang w:val="en-GB" w:eastAsia="ro-MD"/>
        </w:rPr>
        <w:t>”;</w:t>
      </w:r>
    </w:p>
    <w:p w14:paraId="6AAA030A" w14:textId="57B8DDF0" w:rsidR="004E3407" w:rsidRPr="003101B1" w:rsidRDefault="006B218D" w:rsidP="00FF10CA">
      <w:pPr>
        <w:pStyle w:val="ListParagraph"/>
        <w:numPr>
          <w:ilvl w:val="2"/>
          <w:numId w:val="27"/>
        </w:numPr>
        <w:ind w:left="0" w:firstLine="567"/>
        <w:jc w:val="both"/>
        <w:rPr>
          <w:lang w:val="en-GB" w:eastAsia="ro-MD"/>
        </w:rPr>
      </w:pPr>
      <w:r w:rsidRPr="003101B1">
        <w:rPr>
          <w:lang w:val="en-GB" w:eastAsia="ro-MD"/>
        </w:rPr>
        <w:t>sub-paragraphs</w:t>
      </w:r>
      <w:r w:rsidR="00C33C72" w:rsidRPr="003101B1">
        <w:rPr>
          <w:lang w:val="en-GB" w:eastAsia="ro-MD"/>
        </w:rPr>
        <w:t xml:space="preserve"> 12) </w:t>
      </w:r>
      <w:r w:rsidRPr="003101B1">
        <w:rPr>
          <w:lang w:val="en-GB" w:eastAsia="ro-MD"/>
        </w:rPr>
        <w:t>and</w:t>
      </w:r>
      <w:r w:rsidR="00C33C72" w:rsidRPr="003101B1">
        <w:rPr>
          <w:lang w:val="en-GB" w:eastAsia="ro-MD"/>
        </w:rPr>
        <w:t xml:space="preserve"> 13) </w:t>
      </w:r>
      <w:r w:rsidRPr="003101B1">
        <w:rPr>
          <w:lang w:val="en-GB" w:eastAsia="ro-MD"/>
        </w:rPr>
        <w:t>shall be added with the following content</w:t>
      </w:r>
      <w:r w:rsidR="004E3407" w:rsidRPr="003101B1">
        <w:rPr>
          <w:lang w:val="en-GB" w:eastAsia="ro-MD"/>
        </w:rPr>
        <w:t>:</w:t>
      </w:r>
    </w:p>
    <w:p w14:paraId="407062FF" w14:textId="4DA3553A" w:rsidR="004E3407" w:rsidRPr="003101B1" w:rsidRDefault="006B218D" w:rsidP="004E3407">
      <w:pPr>
        <w:jc w:val="both"/>
        <w:rPr>
          <w:sz w:val="18"/>
          <w:szCs w:val="18"/>
          <w:highlight w:val="lightGray"/>
          <w:lang w:val="en-GB" w:eastAsia="ro-MD"/>
        </w:rPr>
      </w:pPr>
      <w:r w:rsidRPr="003101B1">
        <w:rPr>
          <w:lang w:val="en-GB" w:eastAsia="ro-MD"/>
        </w:rPr>
        <w:t>“</w:t>
      </w:r>
      <w:r w:rsidR="004E3407" w:rsidRPr="003101B1">
        <w:rPr>
          <w:lang w:val="en-GB" w:eastAsia="ro-MD"/>
        </w:rPr>
        <w:t xml:space="preserve">12) </w:t>
      </w:r>
      <w:r w:rsidRPr="003101B1">
        <w:rPr>
          <w:lang w:val="en-GB" w:eastAsia="ro-MD"/>
        </w:rPr>
        <w:t>applicable amount of insufficient coverage for non-performing exposures</w:t>
      </w:r>
      <w:r w:rsidR="004E3407" w:rsidRPr="003101B1">
        <w:rPr>
          <w:lang w:val="en-GB" w:eastAsia="ro-MD"/>
        </w:rPr>
        <w:t>;</w:t>
      </w:r>
    </w:p>
    <w:p w14:paraId="44AC5E74" w14:textId="2EC92BEC" w:rsidR="00B63FA9" w:rsidRPr="003101B1" w:rsidRDefault="004E3407" w:rsidP="004E3407">
      <w:pPr>
        <w:jc w:val="both"/>
        <w:rPr>
          <w:sz w:val="18"/>
          <w:szCs w:val="18"/>
          <w:lang w:val="en-GB" w:eastAsia="ro-MD"/>
        </w:rPr>
      </w:pPr>
      <w:r w:rsidRPr="003101B1">
        <w:rPr>
          <w:lang w:val="en-GB" w:eastAsia="ro-MD"/>
        </w:rPr>
        <w:t xml:space="preserve">13) </w:t>
      </w:r>
      <w:r w:rsidR="00C56FBC" w:rsidRPr="003101B1">
        <w:rPr>
          <w:lang w:val="en-GB" w:eastAsia="ro-MD"/>
        </w:rPr>
        <w:t>for a minimum value commitment as referred to in Regulation No 111/2018, any amount by which the current market value of the units or shares in CIUs underlying the minimum value commitment is less than the present value of the minimum value commitment and for which the bank has not already recognised a reduction of Common Equity Tier 1 items</w:t>
      </w:r>
      <w:r w:rsidRPr="003101B1">
        <w:rPr>
          <w:lang w:val="en-GB" w:eastAsia="ro-MD"/>
        </w:rPr>
        <w:t>.</w:t>
      </w:r>
      <w:r w:rsidRPr="003101B1">
        <w:rPr>
          <w:sz w:val="18"/>
          <w:szCs w:val="18"/>
          <w:lang w:val="en-GB" w:eastAsia="ro-MD"/>
        </w:rPr>
        <w:t>”.</w:t>
      </w:r>
    </w:p>
    <w:p w14:paraId="47BA92D2" w14:textId="1605D23C" w:rsidR="004E3407" w:rsidRPr="003101B1" w:rsidRDefault="00C56FBC" w:rsidP="00E91829">
      <w:pPr>
        <w:pStyle w:val="ListParagraph"/>
        <w:numPr>
          <w:ilvl w:val="1"/>
          <w:numId w:val="27"/>
        </w:numPr>
        <w:spacing w:before="80"/>
        <w:ind w:left="788" w:hanging="431"/>
        <w:contextualSpacing w:val="0"/>
        <w:jc w:val="both"/>
        <w:rPr>
          <w:lang w:val="en-GB" w:eastAsia="ro-MD"/>
        </w:rPr>
      </w:pPr>
      <w:r w:rsidRPr="003101B1">
        <w:rPr>
          <w:lang w:val="en-GB" w:eastAsia="ro-MD"/>
        </w:rPr>
        <w:t>Paragraph</w:t>
      </w:r>
      <w:r w:rsidR="004E3407" w:rsidRPr="003101B1">
        <w:rPr>
          <w:lang w:val="en-GB" w:eastAsia="ro-MD"/>
        </w:rPr>
        <w:t xml:space="preserve"> 31</w:t>
      </w:r>
      <w:r w:rsidR="004E3407" w:rsidRPr="003101B1">
        <w:rPr>
          <w:vertAlign w:val="superscript"/>
          <w:lang w:val="en-GB" w:eastAsia="ro-MD"/>
        </w:rPr>
        <w:t xml:space="preserve">1 </w:t>
      </w:r>
      <w:r w:rsidRPr="003101B1">
        <w:rPr>
          <w:lang w:val="en-GB" w:eastAsia="ro-MD"/>
        </w:rPr>
        <w:t>shall be added with the following content</w:t>
      </w:r>
      <w:r w:rsidR="004E3407" w:rsidRPr="003101B1">
        <w:rPr>
          <w:lang w:val="en-GB" w:eastAsia="ro-MD"/>
        </w:rPr>
        <w:t>:</w:t>
      </w:r>
    </w:p>
    <w:p w14:paraId="4E11D795" w14:textId="3E9DC37C" w:rsidR="004E3407" w:rsidRPr="003101B1" w:rsidRDefault="00C56FBC" w:rsidP="004E3407">
      <w:pPr>
        <w:jc w:val="both"/>
        <w:rPr>
          <w:lang w:val="en-GB" w:eastAsia="ro-MD"/>
        </w:rPr>
      </w:pPr>
      <w:bookmarkStart w:id="13" w:name="_Hlk196774129"/>
      <w:r w:rsidRPr="003101B1">
        <w:rPr>
          <w:lang w:val="en-GB" w:eastAsia="ro-MD"/>
        </w:rPr>
        <w:t>“</w:t>
      </w:r>
      <w:r w:rsidR="004E3407" w:rsidRPr="003101B1">
        <w:rPr>
          <w:b/>
          <w:bCs/>
          <w:lang w:val="en-GB" w:eastAsia="ro-MD"/>
        </w:rPr>
        <w:t>31</w:t>
      </w:r>
      <w:r w:rsidR="004E3407" w:rsidRPr="003101B1">
        <w:rPr>
          <w:b/>
          <w:bCs/>
          <w:vertAlign w:val="superscript"/>
          <w:lang w:val="en-GB" w:eastAsia="ro-MD"/>
        </w:rPr>
        <w:t>1</w:t>
      </w:r>
      <w:r w:rsidR="004E3407" w:rsidRPr="003101B1">
        <w:rPr>
          <w:lang w:val="en-GB" w:eastAsia="ro-MD"/>
        </w:rPr>
        <w:t xml:space="preserve">. </w:t>
      </w:r>
      <w:r w:rsidR="00803E47" w:rsidRPr="003101B1">
        <w:rPr>
          <w:lang w:val="en-GB" w:eastAsia="ro-MD"/>
        </w:rPr>
        <w:t xml:space="preserve">For the purposes of paragraph </w:t>
      </w:r>
      <w:r w:rsidR="004E3407" w:rsidRPr="003101B1">
        <w:rPr>
          <w:lang w:val="en-GB" w:eastAsia="ro-MD"/>
        </w:rPr>
        <w:t xml:space="preserve">30, </w:t>
      </w:r>
      <w:r w:rsidR="00803E47" w:rsidRPr="003101B1">
        <w:rPr>
          <w:lang w:val="en-GB" w:eastAsia="ro-MD"/>
        </w:rPr>
        <w:t xml:space="preserve">sub-paragraph </w:t>
      </w:r>
      <w:r w:rsidR="004E3407" w:rsidRPr="003101B1">
        <w:rPr>
          <w:lang w:val="en-GB" w:eastAsia="ro-MD"/>
        </w:rPr>
        <w:t xml:space="preserve">12), </w:t>
      </w:r>
      <w:r w:rsidR="00803E47" w:rsidRPr="003101B1">
        <w:rPr>
          <w:lang w:val="en-GB" w:eastAsia="ro-MD"/>
        </w:rPr>
        <w:t xml:space="preserve">by way of derogation from paragraphs </w:t>
      </w:r>
      <w:r w:rsidR="004E3407" w:rsidRPr="003101B1">
        <w:rPr>
          <w:lang w:val="en-GB" w:eastAsia="ro-MD"/>
        </w:rPr>
        <w:t>67</w:t>
      </w:r>
      <w:r w:rsidR="004E3407" w:rsidRPr="003101B1">
        <w:rPr>
          <w:vertAlign w:val="superscript"/>
          <w:lang w:val="en-GB" w:eastAsia="ro-MD"/>
        </w:rPr>
        <w:t>17</w:t>
      </w:r>
      <w:r w:rsidR="004E3407" w:rsidRPr="003101B1">
        <w:rPr>
          <w:lang w:val="en-GB" w:eastAsia="ro-MD"/>
        </w:rPr>
        <w:t>-67</w:t>
      </w:r>
      <w:r w:rsidR="004E3407" w:rsidRPr="003101B1">
        <w:rPr>
          <w:vertAlign w:val="superscript"/>
          <w:lang w:val="en-GB" w:eastAsia="ro-MD"/>
        </w:rPr>
        <w:t>26</w:t>
      </w:r>
      <w:r w:rsidR="004E3407" w:rsidRPr="003101B1">
        <w:rPr>
          <w:lang w:val="en-GB" w:eastAsia="ro-MD"/>
        </w:rPr>
        <w:t xml:space="preserve">, </w:t>
      </w:r>
      <w:r w:rsidR="00803E47" w:rsidRPr="003101B1">
        <w:rPr>
          <w:lang w:val="en-GB" w:eastAsia="ro-MD"/>
        </w:rPr>
        <w:t>after notifying the National Bank of Moldova in writing</w:t>
      </w:r>
      <w:r w:rsidR="004E3407" w:rsidRPr="003101B1">
        <w:rPr>
          <w:lang w:val="en-GB" w:eastAsia="ro-MD"/>
        </w:rPr>
        <w:t xml:space="preserve">, </w:t>
      </w:r>
      <w:r w:rsidR="00803E47" w:rsidRPr="003101B1">
        <w:rPr>
          <w:lang w:val="en-GB" w:eastAsia="ro-MD"/>
        </w:rPr>
        <w:t>the applicable amount of insufficient coverage for non-performing exposures purchased by a specialised debt restructurer shall be zero</w:t>
      </w:r>
      <w:r w:rsidR="004E3407" w:rsidRPr="003101B1">
        <w:rPr>
          <w:lang w:val="en-GB" w:eastAsia="ro-MD"/>
        </w:rPr>
        <w:t xml:space="preserve">. </w:t>
      </w:r>
      <w:r w:rsidR="00803E47" w:rsidRPr="003101B1">
        <w:rPr>
          <w:lang w:val="en-GB" w:eastAsia="ro-MD"/>
        </w:rPr>
        <w:t>The derogation set out in this paragraph shall apply on an individual basis and, in the case of groups where all banks qualify as specialised debt restructurers, on a consolidated basis</w:t>
      </w:r>
      <w:r w:rsidR="004E3407" w:rsidRPr="003101B1">
        <w:rPr>
          <w:lang w:val="en-GB" w:eastAsia="ro-MD"/>
        </w:rPr>
        <w:t>.</w:t>
      </w:r>
      <w:bookmarkEnd w:id="13"/>
      <w:r w:rsidR="004E3407" w:rsidRPr="003101B1">
        <w:rPr>
          <w:lang w:val="en-GB" w:eastAsia="ro-MD"/>
        </w:rPr>
        <w:t>”.</w:t>
      </w:r>
    </w:p>
    <w:p w14:paraId="7B3E752F" w14:textId="29AAB69F" w:rsidR="00082693" w:rsidRPr="003101B1" w:rsidRDefault="00C56FBC" w:rsidP="00082693">
      <w:pPr>
        <w:pStyle w:val="ListParagraph"/>
        <w:numPr>
          <w:ilvl w:val="1"/>
          <w:numId w:val="27"/>
        </w:numPr>
        <w:ind w:left="0" w:firstLine="567"/>
        <w:jc w:val="both"/>
        <w:rPr>
          <w:lang w:val="en-GB" w:eastAsia="ro-MD"/>
        </w:rPr>
      </w:pPr>
      <w:r w:rsidRPr="003101B1">
        <w:rPr>
          <w:lang w:val="en-GB" w:eastAsia="ro-MD"/>
        </w:rPr>
        <w:t xml:space="preserve">Paragraph </w:t>
      </w:r>
      <w:r w:rsidR="00082693" w:rsidRPr="003101B1">
        <w:rPr>
          <w:lang w:val="en-GB" w:eastAsia="ro-MD"/>
        </w:rPr>
        <w:t>37</w:t>
      </w:r>
      <w:r w:rsidR="00082693" w:rsidRPr="003101B1">
        <w:rPr>
          <w:vertAlign w:val="superscript"/>
          <w:lang w:val="en-GB" w:eastAsia="ro-MD"/>
        </w:rPr>
        <w:t>1</w:t>
      </w:r>
      <w:r w:rsidR="00082693" w:rsidRPr="003101B1">
        <w:rPr>
          <w:lang w:val="en-GB" w:eastAsia="ro-MD"/>
        </w:rPr>
        <w:t xml:space="preserve"> </w:t>
      </w:r>
      <w:r w:rsidRPr="003101B1">
        <w:rPr>
          <w:lang w:val="en-GB" w:eastAsia="ro-MD"/>
        </w:rPr>
        <w:t>shall read as follows</w:t>
      </w:r>
      <w:r w:rsidR="00082693" w:rsidRPr="003101B1">
        <w:rPr>
          <w:lang w:val="en-GB" w:eastAsia="ro-MD"/>
        </w:rPr>
        <w:t>:</w:t>
      </w:r>
    </w:p>
    <w:p w14:paraId="35B30994" w14:textId="72ED7108" w:rsidR="00082693" w:rsidRPr="003101B1" w:rsidRDefault="00C56FBC" w:rsidP="00082693">
      <w:pPr>
        <w:jc w:val="both"/>
        <w:rPr>
          <w:lang w:val="en-GB" w:eastAsia="ro-MD"/>
        </w:rPr>
      </w:pPr>
      <w:r w:rsidRPr="003101B1">
        <w:rPr>
          <w:lang w:val="en-GB" w:eastAsia="ro-MD"/>
        </w:rPr>
        <w:t>“</w:t>
      </w:r>
      <w:r w:rsidR="00082693" w:rsidRPr="003101B1">
        <w:rPr>
          <w:b/>
          <w:bCs/>
          <w:lang w:val="en-GB" w:eastAsia="ro-MD"/>
        </w:rPr>
        <w:t>37</w:t>
      </w:r>
      <w:r w:rsidR="00082693" w:rsidRPr="003101B1">
        <w:rPr>
          <w:b/>
          <w:bCs/>
          <w:vertAlign w:val="superscript"/>
          <w:lang w:val="en-GB" w:eastAsia="ro-MD"/>
        </w:rPr>
        <w:t>1</w:t>
      </w:r>
      <w:r w:rsidR="00082693" w:rsidRPr="003101B1">
        <w:rPr>
          <w:b/>
          <w:bCs/>
          <w:lang w:val="en-GB" w:eastAsia="ro-MD"/>
        </w:rPr>
        <w:t>.</w:t>
      </w:r>
      <w:r w:rsidR="00082693" w:rsidRPr="003101B1">
        <w:rPr>
          <w:lang w:val="en-GB" w:eastAsia="ro-MD"/>
        </w:rPr>
        <w:t xml:space="preserve"> </w:t>
      </w:r>
      <w:r w:rsidR="002A5EF8" w:rsidRPr="003101B1">
        <w:rPr>
          <w:lang w:val="en-GB" w:eastAsia="ro-MD"/>
        </w:rPr>
        <w:t xml:space="preserve">For the purposes of paragraph </w:t>
      </w:r>
      <w:r w:rsidR="00082693" w:rsidRPr="003101B1">
        <w:rPr>
          <w:lang w:val="en-GB" w:eastAsia="ro-MD"/>
        </w:rPr>
        <w:t>30, sub</w:t>
      </w:r>
      <w:r w:rsidR="002A5EF8" w:rsidRPr="003101B1">
        <w:rPr>
          <w:lang w:val="en-GB" w:eastAsia="ro-MD"/>
        </w:rPr>
        <w:t>-paragraph</w:t>
      </w:r>
      <w:r w:rsidR="00082693" w:rsidRPr="003101B1">
        <w:rPr>
          <w:lang w:val="en-GB" w:eastAsia="ro-MD"/>
        </w:rPr>
        <w:t xml:space="preserve"> 2), </w:t>
      </w:r>
      <w:r w:rsidR="002A5EF8" w:rsidRPr="003101B1">
        <w:rPr>
          <w:lang w:val="en-GB" w:eastAsia="ro-MD"/>
        </w:rPr>
        <w:t xml:space="preserve">prudently valued software assets the value of which is not adversely affected by the resolution, insolvency or liquidation of the bank shall be determined by applying the prudential treatment based on amortisation for prudential purposes determined in accordance with Annex No </w:t>
      </w:r>
      <w:r w:rsidR="00082693" w:rsidRPr="003101B1">
        <w:rPr>
          <w:lang w:val="en-GB" w:eastAsia="ro-MD"/>
        </w:rPr>
        <w:t>4</w:t>
      </w:r>
      <w:r w:rsidR="00082693" w:rsidRPr="003101B1">
        <w:rPr>
          <w:vertAlign w:val="superscript"/>
          <w:lang w:val="en-GB" w:eastAsia="ro-MD"/>
        </w:rPr>
        <w:t>1</w:t>
      </w:r>
      <w:r w:rsidR="00082693" w:rsidRPr="003101B1">
        <w:rPr>
          <w:lang w:val="en-GB" w:eastAsia="ro-MD"/>
        </w:rPr>
        <w:t>.”.</w:t>
      </w:r>
    </w:p>
    <w:p w14:paraId="392FF172" w14:textId="10D527AB" w:rsidR="00C34C56" w:rsidRPr="003101B1" w:rsidRDefault="002A5EF8" w:rsidP="00E91829">
      <w:pPr>
        <w:pStyle w:val="ListParagraph"/>
        <w:numPr>
          <w:ilvl w:val="1"/>
          <w:numId w:val="27"/>
        </w:numPr>
        <w:spacing w:before="80"/>
        <w:ind w:left="0" w:firstLine="567"/>
        <w:contextualSpacing w:val="0"/>
        <w:jc w:val="both"/>
        <w:rPr>
          <w:b/>
          <w:bCs/>
          <w:lang w:val="en-GB" w:eastAsia="ro-MD"/>
        </w:rPr>
      </w:pPr>
      <w:r w:rsidRPr="003101B1">
        <w:rPr>
          <w:lang w:val="en-GB" w:eastAsia="ro-MD"/>
        </w:rPr>
        <w:t>In paragraph</w:t>
      </w:r>
      <w:r w:rsidR="004449F6" w:rsidRPr="003101B1">
        <w:rPr>
          <w:lang w:val="en-GB" w:eastAsia="ro-MD"/>
        </w:rPr>
        <w:t xml:space="preserve"> </w:t>
      </w:r>
      <w:r w:rsidR="004E3407" w:rsidRPr="003101B1">
        <w:rPr>
          <w:lang w:val="en-GB" w:eastAsia="ro-MD"/>
        </w:rPr>
        <w:t>46</w:t>
      </w:r>
      <w:r w:rsidR="00800652" w:rsidRPr="003101B1">
        <w:rPr>
          <w:lang w:val="en-GB" w:eastAsia="ro-MD"/>
        </w:rPr>
        <w:t>,</w:t>
      </w:r>
      <w:r w:rsidR="004E3407" w:rsidRPr="003101B1">
        <w:rPr>
          <w:lang w:val="en-GB" w:eastAsia="ro-MD"/>
        </w:rPr>
        <w:t xml:space="preserve"> t</w:t>
      </w:r>
      <w:r w:rsidRPr="003101B1">
        <w:rPr>
          <w:lang w:val="en-GB" w:eastAsia="ro-MD"/>
        </w:rPr>
        <w:t>he text</w:t>
      </w:r>
      <w:r w:rsidR="004E3407" w:rsidRPr="003101B1">
        <w:rPr>
          <w:lang w:val="en-GB" w:eastAsia="ro-MD"/>
        </w:rPr>
        <w:t xml:space="preserve"> </w:t>
      </w:r>
      <w:r w:rsidRPr="003101B1">
        <w:rPr>
          <w:lang w:val="en-GB" w:eastAsia="ro-MD"/>
        </w:rPr>
        <w:t>“</w:t>
      </w:r>
      <w:r w:rsidRPr="003101B1">
        <w:rPr>
          <w:lang w:val="en-GB"/>
        </w:rPr>
        <w:t>Regulation on the treatment of banks’ credit risk according to the standardised approach, approved by the Decision of the Executive Board of the National Bank of Moldova No 111 of 24 May 2018 (hereinafter referred to as “Regulation No 111/2018</w:t>
      </w:r>
      <w:r w:rsidR="004E3407" w:rsidRPr="003101B1">
        <w:rPr>
          <w:lang w:val="en-GB" w:eastAsia="ro-MD"/>
        </w:rPr>
        <w:t xml:space="preserve">)” </w:t>
      </w:r>
      <w:r w:rsidRPr="003101B1">
        <w:rPr>
          <w:lang w:val="en-GB" w:eastAsia="ro-MD"/>
        </w:rPr>
        <w:t>shall be replaced with the text</w:t>
      </w:r>
      <w:r w:rsidR="004E3407" w:rsidRPr="003101B1">
        <w:rPr>
          <w:lang w:val="en-GB" w:eastAsia="ro-MD"/>
        </w:rPr>
        <w:t xml:space="preserve"> </w:t>
      </w:r>
      <w:r w:rsidRPr="003101B1">
        <w:rPr>
          <w:lang w:val="en-GB" w:eastAsia="ro-MD"/>
        </w:rPr>
        <w:t>“Regulation No 111/2018 or in accordance with the normative acts of the National Bank of Moldova on the treatment of credit risk for banks under the Internal Ratings Based Approach</w:t>
      </w:r>
      <w:r w:rsidR="004E3407" w:rsidRPr="003101B1">
        <w:rPr>
          <w:lang w:val="en-GB" w:eastAsia="ro-MD"/>
        </w:rPr>
        <w:t>,”.</w:t>
      </w:r>
    </w:p>
    <w:p w14:paraId="2353459E" w14:textId="017D5B17" w:rsidR="00F34C6E" w:rsidRPr="003101B1" w:rsidRDefault="002A5EF8" w:rsidP="00E91829">
      <w:pPr>
        <w:pStyle w:val="ListParagraph"/>
        <w:numPr>
          <w:ilvl w:val="1"/>
          <w:numId w:val="27"/>
        </w:numPr>
        <w:spacing w:before="80"/>
        <w:ind w:left="0" w:firstLine="567"/>
        <w:contextualSpacing w:val="0"/>
        <w:jc w:val="both"/>
        <w:rPr>
          <w:b/>
          <w:bCs/>
          <w:lang w:val="en-GB" w:eastAsia="ro-MD"/>
        </w:rPr>
      </w:pPr>
      <w:r w:rsidRPr="003101B1">
        <w:rPr>
          <w:lang w:val="en-GB" w:eastAsia="ro-MD"/>
        </w:rPr>
        <w:t>In</w:t>
      </w:r>
      <w:r w:rsidR="00F34C6E" w:rsidRPr="003101B1">
        <w:rPr>
          <w:lang w:val="en-GB" w:eastAsia="ro-MD"/>
        </w:rPr>
        <w:t xml:space="preserve"> </w:t>
      </w:r>
      <w:r w:rsidRPr="003101B1">
        <w:rPr>
          <w:lang w:val="en-GB" w:eastAsia="ro-MD"/>
        </w:rPr>
        <w:t>S</w:t>
      </w:r>
      <w:r w:rsidR="00F34C6E" w:rsidRPr="003101B1">
        <w:rPr>
          <w:lang w:val="en-GB" w:eastAsia="ro-MD"/>
        </w:rPr>
        <w:t>ubsec</w:t>
      </w:r>
      <w:r w:rsidRPr="003101B1">
        <w:rPr>
          <w:lang w:val="en-GB" w:eastAsia="ro-MD"/>
        </w:rPr>
        <w:t>tion</w:t>
      </w:r>
      <w:r w:rsidR="00F34C6E" w:rsidRPr="003101B1">
        <w:rPr>
          <w:lang w:val="en-GB" w:eastAsia="ro-MD"/>
        </w:rPr>
        <w:t xml:space="preserve"> 5 </w:t>
      </w:r>
      <w:r w:rsidRPr="003101B1">
        <w:rPr>
          <w:lang w:val="en-GB" w:eastAsia="ro-MD"/>
        </w:rPr>
        <w:t>“Deduction of the assets of the defined benefit pension fund</w:t>
      </w:r>
      <w:r w:rsidR="00F34C6E" w:rsidRPr="003101B1">
        <w:rPr>
          <w:lang w:val="en-GB" w:eastAsia="ro-MD"/>
        </w:rPr>
        <w:t>”</w:t>
      </w:r>
      <w:r w:rsidR="00470862" w:rsidRPr="003101B1">
        <w:rPr>
          <w:lang w:val="en-GB" w:eastAsia="ro-MD"/>
        </w:rPr>
        <w:t xml:space="preserve"> </w:t>
      </w:r>
      <w:r w:rsidRPr="003101B1">
        <w:rPr>
          <w:lang w:val="en-GB" w:eastAsia="ro-MD"/>
        </w:rPr>
        <w:t>of</w:t>
      </w:r>
      <w:r w:rsidR="00470862" w:rsidRPr="003101B1">
        <w:rPr>
          <w:lang w:val="en-GB" w:eastAsia="ro-MD"/>
        </w:rPr>
        <w:t xml:space="preserve"> </w:t>
      </w:r>
      <w:r w:rsidRPr="003101B1">
        <w:rPr>
          <w:lang w:val="en-GB" w:eastAsia="ro-MD"/>
        </w:rPr>
        <w:t>S</w:t>
      </w:r>
      <w:r w:rsidR="00470862" w:rsidRPr="003101B1">
        <w:rPr>
          <w:lang w:val="en-GB" w:eastAsia="ro-MD"/>
        </w:rPr>
        <w:t>ec</w:t>
      </w:r>
      <w:r w:rsidRPr="003101B1">
        <w:rPr>
          <w:lang w:val="en-GB" w:eastAsia="ro-MD"/>
        </w:rPr>
        <w:t>tion</w:t>
      </w:r>
      <w:r w:rsidR="00470862" w:rsidRPr="003101B1">
        <w:rPr>
          <w:lang w:val="en-GB" w:eastAsia="ro-MD"/>
        </w:rPr>
        <w:t xml:space="preserve"> 3, </w:t>
      </w:r>
      <w:r w:rsidRPr="003101B1">
        <w:rPr>
          <w:lang w:val="en-GB" w:eastAsia="ro-MD"/>
        </w:rPr>
        <w:t>Chapter</w:t>
      </w:r>
      <w:r w:rsidR="00470862" w:rsidRPr="003101B1">
        <w:rPr>
          <w:lang w:val="en-GB" w:eastAsia="ro-MD"/>
        </w:rPr>
        <w:t xml:space="preserve"> III</w:t>
      </w:r>
      <w:r w:rsidR="00F34C6E" w:rsidRPr="003101B1">
        <w:rPr>
          <w:lang w:val="en-GB" w:eastAsia="ro-MD"/>
        </w:rPr>
        <w:t>:</w:t>
      </w:r>
    </w:p>
    <w:p w14:paraId="397CF43A" w14:textId="016A024A" w:rsidR="0056740D" w:rsidRPr="003101B1" w:rsidRDefault="002A5EF8" w:rsidP="00FF10CA">
      <w:pPr>
        <w:pStyle w:val="ListParagraph"/>
        <w:numPr>
          <w:ilvl w:val="2"/>
          <w:numId w:val="27"/>
        </w:numPr>
        <w:ind w:left="0" w:firstLine="567"/>
        <w:jc w:val="both"/>
        <w:rPr>
          <w:b/>
          <w:bCs/>
          <w:lang w:val="en-GB" w:eastAsia="ro-MD"/>
        </w:rPr>
      </w:pPr>
      <w:r w:rsidRPr="003101B1">
        <w:rPr>
          <w:lang w:val="en-GB" w:eastAsia="ro-MD"/>
        </w:rPr>
        <w:t>the title of subsection 5 shall read as follows</w:t>
      </w:r>
      <w:r w:rsidR="004449F6" w:rsidRPr="003101B1">
        <w:rPr>
          <w:lang w:val="en-GB" w:eastAsia="ro-MD"/>
        </w:rPr>
        <w:t>:</w:t>
      </w:r>
    </w:p>
    <w:p w14:paraId="3F0A1DD8" w14:textId="3CE77419" w:rsidR="00C34C56" w:rsidRPr="003101B1" w:rsidRDefault="000934AD" w:rsidP="0056740D">
      <w:pPr>
        <w:pStyle w:val="ListParagraph"/>
        <w:ind w:left="567"/>
        <w:jc w:val="center"/>
        <w:rPr>
          <w:b/>
          <w:bCs/>
          <w:lang w:val="en-GB" w:eastAsia="ro-MD"/>
        </w:rPr>
      </w:pPr>
      <w:r w:rsidRPr="003101B1">
        <w:rPr>
          <w:lang w:val="en-GB" w:eastAsia="ro-MD"/>
        </w:rPr>
        <w:t>“</w:t>
      </w:r>
      <w:r w:rsidRPr="003101B1">
        <w:rPr>
          <w:b/>
          <w:bCs/>
          <w:i/>
          <w:iCs/>
          <w:lang w:val="en-GB" w:eastAsia="ro-MD"/>
        </w:rPr>
        <w:t>Deduction of negative amounts resulting from the calculation of expected loss amount and assets of the defined benefit pension fund</w:t>
      </w:r>
      <w:r w:rsidR="00C34C56" w:rsidRPr="003101B1">
        <w:rPr>
          <w:lang w:val="en-GB" w:eastAsia="ro-MD"/>
        </w:rPr>
        <w:t>”</w:t>
      </w:r>
      <w:r w:rsidR="00F34C6E" w:rsidRPr="003101B1">
        <w:rPr>
          <w:lang w:val="en-GB" w:eastAsia="ro-MD"/>
        </w:rPr>
        <w:t>;</w:t>
      </w:r>
    </w:p>
    <w:p w14:paraId="1D6E3CEE" w14:textId="0E60DCE9" w:rsidR="005F3C3C" w:rsidRPr="003101B1" w:rsidRDefault="000934AD" w:rsidP="00FF10CA">
      <w:pPr>
        <w:pStyle w:val="ListParagraph"/>
        <w:numPr>
          <w:ilvl w:val="2"/>
          <w:numId w:val="27"/>
        </w:numPr>
        <w:ind w:left="0" w:firstLine="567"/>
        <w:jc w:val="both"/>
        <w:rPr>
          <w:lang w:val="en-GB" w:eastAsia="ro-MD"/>
        </w:rPr>
      </w:pPr>
      <w:r w:rsidRPr="003101B1">
        <w:rPr>
          <w:lang w:val="en-GB" w:eastAsia="ro-MD"/>
        </w:rPr>
        <w:t>paragraph</w:t>
      </w:r>
      <w:r w:rsidR="005F3C3C" w:rsidRPr="003101B1">
        <w:rPr>
          <w:lang w:val="en-GB" w:eastAsia="ro-MD"/>
        </w:rPr>
        <w:t xml:space="preserve"> 46</w:t>
      </w:r>
      <w:r w:rsidR="005F3C3C" w:rsidRPr="003101B1">
        <w:rPr>
          <w:vertAlign w:val="superscript"/>
          <w:lang w:val="en-GB" w:eastAsia="ro-MD"/>
        </w:rPr>
        <w:t>1</w:t>
      </w:r>
      <w:r w:rsidR="005F3C3C" w:rsidRPr="003101B1">
        <w:rPr>
          <w:lang w:val="en-GB" w:eastAsia="ro-MD"/>
        </w:rPr>
        <w:t xml:space="preserve"> </w:t>
      </w:r>
      <w:r w:rsidRPr="003101B1">
        <w:rPr>
          <w:lang w:val="en-GB" w:eastAsia="ro-MD"/>
        </w:rPr>
        <w:t>shall be added with the following content</w:t>
      </w:r>
      <w:r w:rsidR="005F3C3C" w:rsidRPr="003101B1">
        <w:rPr>
          <w:lang w:val="en-GB" w:eastAsia="ro-MD"/>
        </w:rPr>
        <w:t>:</w:t>
      </w:r>
    </w:p>
    <w:p w14:paraId="53B5C79B" w14:textId="3E127549" w:rsidR="004E3407" w:rsidRPr="003101B1" w:rsidRDefault="000934AD" w:rsidP="00731661">
      <w:pPr>
        <w:jc w:val="both"/>
        <w:rPr>
          <w:lang w:val="en-GB" w:eastAsia="ro-MD"/>
        </w:rPr>
      </w:pPr>
      <w:r w:rsidRPr="003101B1">
        <w:rPr>
          <w:lang w:val="en-GB" w:eastAsia="ro-MD"/>
        </w:rPr>
        <w:t>“</w:t>
      </w:r>
      <w:r w:rsidR="00C34C56" w:rsidRPr="003101B1">
        <w:rPr>
          <w:b/>
          <w:bCs/>
          <w:lang w:val="en-GB" w:eastAsia="ro-MD"/>
        </w:rPr>
        <w:t>46</w:t>
      </w:r>
      <w:r w:rsidR="00C34C56" w:rsidRPr="003101B1">
        <w:rPr>
          <w:b/>
          <w:bCs/>
          <w:vertAlign w:val="superscript"/>
          <w:lang w:val="en-GB" w:eastAsia="ro-MD"/>
        </w:rPr>
        <w:t>1</w:t>
      </w:r>
      <w:r w:rsidR="00C34C56" w:rsidRPr="003101B1">
        <w:rPr>
          <w:b/>
          <w:bCs/>
          <w:lang w:val="en-GB" w:eastAsia="ro-MD"/>
        </w:rPr>
        <w:t>.</w:t>
      </w:r>
      <w:r w:rsidR="00831DDD" w:rsidRPr="003101B1">
        <w:rPr>
          <w:b/>
          <w:bCs/>
          <w:lang w:val="en-GB" w:eastAsia="ro-MD"/>
        </w:rPr>
        <w:t xml:space="preserve"> </w:t>
      </w:r>
      <w:r w:rsidRPr="003101B1">
        <w:rPr>
          <w:lang w:val="en-GB" w:eastAsia="ro-MD"/>
        </w:rPr>
        <w:t xml:space="preserve">The amount to be deducted in accordance with paragraph </w:t>
      </w:r>
      <w:r w:rsidR="00C34C56" w:rsidRPr="003101B1">
        <w:rPr>
          <w:lang w:val="en-GB" w:eastAsia="ro-MD"/>
        </w:rPr>
        <w:t xml:space="preserve">30 </w:t>
      </w:r>
      <w:r w:rsidRPr="003101B1">
        <w:rPr>
          <w:lang w:val="en-GB" w:eastAsia="ro-MD"/>
        </w:rPr>
        <w:t xml:space="preserve">sub-paragraph </w:t>
      </w:r>
      <w:r w:rsidR="00C34C56" w:rsidRPr="003101B1">
        <w:rPr>
          <w:lang w:val="en-GB" w:eastAsia="ro-MD"/>
        </w:rPr>
        <w:t>3</w:t>
      </w:r>
      <w:r w:rsidR="00C34C56" w:rsidRPr="003101B1">
        <w:rPr>
          <w:vertAlign w:val="superscript"/>
          <w:lang w:val="en-GB" w:eastAsia="ro-MD"/>
        </w:rPr>
        <w:t>1</w:t>
      </w:r>
      <w:r w:rsidR="00177730" w:rsidRPr="003101B1">
        <w:rPr>
          <w:lang w:val="en-GB" w:eastAsia="ro-MD"/>
        </w:rPr>
        <w:t xml:space="preserve">) </w:t>
      </w:r>
      <w:r w:rsidR="00D71E21" w:rsidRPr="003101B1">
        <w:rPr>
          <w:lang w:val="en-GB" w:eastAsia="ro-MD"/>
        </w:rPr>
        <w:t xml:space="preserve">shall not be reduced by an increase in the level of deferred tax assets that rely on future profitability, or other additional tax effects, that could arise if provisions were to reach the level of expected losses referred to in the </w:t>
      </w:r>
      <w:r w:rsidR="00BE5FF1" w:rsidRPr="003101B1">
        <w:rPr>
          <w:lang w:val="en-GB" w:eastAsia="ro-MD"/>
        </w:rPr>
        <w:t>“</w:t>
      </w:r>
      <w:r w:rsidR="00D71E21" w:rsidRPr="003101B1">
        <w:rPr>
          <w:lang w:val="en-GB" w:eastAsia="ro-MD"/>
        </w:rPr>
        <w:t>expected loss amounts</w:t>
      </w:r>
      <w:r w:rsidR="00BE5FF1" w:rsidRPr="003101B1">
        <w:rPr>
          <w:lang w:val="en-GB" w:eastAsia="ro-MD"/>
        </w:rPr>
        <w:t>”</w:t>
      </w:r>
      <w:r w:rsidR="00D71E21" w:rsidRPr="003101B1">
        <w:rPr>
          <w:lang w:val="en-GB" w:eastAsia="ro-MD"/>
        </w:rPr>
        <w:t xml:space="preserve"> section of the National Bank of Moldova’s normative acts on the treatment of credit risk under the Internal Ratings Based Approach</w:t>
      </w:r>
      <w:r w:rsidR="00C34C56" w:rsidRPr="003101B1">
        <w:rPr>
          <w:lang w:val="en-GB" w:eastAsia="ro-MD"/>
        </w:rPr>
        <w:t>.”.</w:t>
      </w:r>
    </w:p>
    <w:p w14:paraId="519EDFD5" w14:textId="5C02087E" w:rsidR="00C34C56" w:rsidRPr="003101B1" w:rsidRDefault="00D71E21" w:rsidP="00E91829">
      <w:pPr>
        <w:pStyle w:val="ListParagraph"/>
        <w:numPr>
          <w:ilvl w:val="1"/>
          <w:numId w:val="27"/>
        </w:numPr>
        <w:spacing w:before="80"/>
        <w:ind w:left="0" w:firstLine="568"/>
        <w:jc w:val="both"/>
        <w:rPr>
          <w:lang w:val="en-GB" w:eastAsia="ro-MD"/>
        </w:rPr>
      </w:pPr>
      <w:r w:rsidRPr="003101B1">
        <w:rPr>
          <w:lang w:val="en-GB" w:eastAsia="ro-MD"/>
        </w:rPr>
        <w:t>Paragraph</w:t>
      </w:r>
      <w:r w:rsidR="00C34C56" w:rsidRPr="003101B1">
        <w:rPr>
          <w:lang w:val="en-GB" w:eastAsia="ro-MD"/>
        </w:rPr>
        <w:t xml:space="preserve"> 48 </w:t>
      </w:r>
      <w:r w:rsidRPr="003101B1">
        <w:rPr>
          <w:lang w:val="en-GB" w:eastAsia="ro-MD"/>
        </w:rPr>
        <w:t>shall be supplemented with the text</w:t>
      </w:r>
      <w:r w:rsidR="00C34C56" w:rsidRPr="003101B1">
        <w:rPr>
          <w:lang w:val="en-GB" w:eastAsia="ro-MD"/>
        </w:rPr>
        <w:t xml:space="preserve"> </w:t>
      </w:r>
      <w:r w:rsidRPr="003101B1">
        <w:rPr>
          <w:lang w:val="en-GB" w:eastAsia="ro-MD"/>
        </w:rPr>
        <w:t>“or in accordance with the National Bank of Moldova’s normative acts on the treatment of credit risk for banks under the Internal Ratings Based Approach, as applicable</w:t>
      </w:r>
      <w:r w:rsidR="00C34C56" w:rsidRPr="003101B1">
        <w:rPr>
          <w:lang w:val="en-GB" w:eastAsia="ro-MD"/>
        </w:rPr>
        <w:t>”.</w:t>
      </w:r>
    </w:p>
    <w:p w14:paraId="4CCDF27E" w14:textId="3AE70E6D" w:rsidR="00F34C6E" w:rsidRPr="003101B1" w:rsidRDefault="000934AD" w:rsidP="00E91829">
      <w:pPr>
        <w:pStyle w:val="ListParagraph"/>
        <w:numPr>
          <w:ilvl w:val="1"/>
          <w:numId w:val="27"/>
        </w:numPr>
        <w:spacing w:before="80"/>
        <w:ind w:left="0" w:firstLine="568"/>
        <w:jc w:val="both"/>
        <w:rPr>
          <w:lang w:val="en-GB" w:eastAsia="ro-MD"/>
        </w:rPr>
      </w:pPr>
      <w:r w:rsidRPr="003101B1">
        <w:rPr>
          <w:lang w:val="en-GB" w:eastAsia="ro-MD"/>
        </w:rPr>
        <w:t>Paragraph</w:t>
      </w:r>
      <w:r w:rsidR="00C34C56" w:rsidRPr="003101B1">
        <w:rPr>
          <w:lang w:val="en-GB" w:eastAsia="ro-MD"/>
        </w:rPr>
        <w:t xml:space="preserve"> 55 </w:t>
      </w:r>
      <w:r w:rsidRPr="003101B1">
        <w:rPr>
          <w:lang w:val="en-GB" w:eastAsia="ro-MD"/>
        </w:rPr>
        <w:t>sub-paragraph</w:t>
      </w:r>
      <w:r w:rsidR="00C34C56" w:rsidRPr="003101B1">
        <w:rPr>
          <w:lang w:val="en-GB" w:eastAsia="ro-MD"/>
        </w:rPr>
        <w:t xml:space="preserve"> 1) </w:t>
      </w:r>
      <w:r w:rsidRPr="003101B1">
        <w:rPr>
          <w:lang w:val="en-GB" w:eastAsia="ro-MD"/>
        </w:rPr>
        <w:t>letter</w:t>
      </w:r>
      <w:r w:rsidR="00C34C56" w:rsidRPr="003101B1">
        <w:rPr>
          <w:lang w:val="en-GB" w:eastAsia="ro-MD"/>
        </w:rPr>
        <w:t xml:space="preserve"> a) </w:t>
      </w:r>
      <w:r w:rsidRPr="003101B1">
        <w:rPr>
          <w:lang w:val="en-GB" w:eastAsia="ro-MD"/>
        </w:rPr>
        <w:t>shall read as follows</w:t>
      </w:r>
      <w:r w:rsidR="00F34C6E" w:rsidRPr="003101B1">
        <w:rPr>
          <w:lang w:val="en-GB" w:eastAsia="ro-MD"/>
        </w:rPr>
        <w:t>:</w:t>
      </w:r>
    </w:p>
    <w:p w14:paraId="0D9C12BE" w14:textId="251078A1" w:rsidR="00C34C56" w:rsidRPr="003101B1" w:rsidRDefault="00D71E21" w:rsidP="00E91829">
      <w:pPr>
        <w:spacing w:before="80"/>
        <w:jc w:val="both"/>
        <w:rPr>
          <w:lang w:val="en-GB" w:eastAsia="ro-MD"/>
        </w:rPr>
      </w:pPr>
      <w:r w:rsidRPr="003101B1">
        <w:rPr>
          <w:lang w:val="en-GB" w:eastAsia="ro-MD"/>
        </w:rPr>
        <w:t>“</w:t>
      </w:r>
      <w:r w:rsidR="00C34C56" w:rsidRPr="003101B1">
        <w:rPr>
          <w:lang w:val="en-GB" w:eastAsia="ro-MD"/>
        </w:rPr>
        <w:t xml:space="preserve">a) </w:t>
      </w:r>
      <w:r w:rsidRPr="003101B1">
        <w:rPr>
          <w:lang w:val="en-GB" w:eastAsia="ro-MD"/>
        </w:rPr>
        <w:t>the maturity date of the short position is either the same as or later than the maturity date of the long position or the residual maturity of the short position is at least one year</w:t>
      </w:r>
      <w:r w:rsidR="00C34C56" w:rsidRPr="003101B1">
        <w:rPr>
          <w:lang w:val="en-GB" w:eastAsia="ro-MD"/>
        </w:rPr>
        <w:t>;”.</w:t>
      </w:r>
    </w:p>
    <w:p w14:paraId="11DA7E1F" w14:textId="465B54C5" w:rsidR="00C34C56" w:rsidRPr="003101B1" w:rsidRDefault="00D71E21" w:rsidP="00E91829">
      <w:pPr>
        <w:pStyle w:val="ListParagraph"/>
        <w:numPr>
          <w:ilvl w:val="1"/>
          <w:numId w:val="27"/>
        </w:numPr>
        <w:spacing w:before="80"/>
        <w:ind w:left="0" w:firstLine="568"/>
        <w:jc w:val="both"/>
        <w:rPr>
          <w:lang w:val="en-GB" w:eastAsia="ro-MD"/>
        </w:rPr>
      </w:pPr>
      <w:bookmarkStart w:id="14" w:name="_Hlk206752328"/>
      <w:r w:rsidRPr="003101B1">
        <w:rPr>
          <w:lang w:val="en-GB" w:eastAsia="ro-MD"/>
        </w:rPr>
        <w:t>In paragraph</w:t>
      </w:r>
      <w:r w:rsidR="00C34C56" w:rsidRPr="003101B1">
        <w:rPr>
          <w:lang w:val="en-GB" w:eastAsia="ro-MD"/>
        </w:rPr>
        <w:t xml:space="preserve"> 56</w:t>
      </w:r>
      <w:r w:rsidR="009479A2" w:rsidRPr="003101B1">
        <w:rPr>
          <w:lang w:val="en-GB" w:eastAsia="ro-MD"/>
        </w:rPr>
        <w:t xml:space="preserve"> </w:t>
      </w:r>
      <w:r w:rsidRPr="003101B1">
        <w:rPr>
          <w:lang w:val="en-GB" w:eastAsia="ro-MD"/>
        </w:rPr>
        <w:t>sub-paragraph</w:t>
      </w:r>
      <w:r w:rsidR="009479A2" w:rsidRPr="003101B1">
        <w:rPr>
          <w:lang w:val="en-GB" w:eastAsia="ro-MD"/>
        </w:rPr>
        <w:t xml:space="preserve"> 1)</w:t>
      </w:r>
      <w:r w:rsidR="000E2704" w:rsidRPr="003101B1">
        <w:rPr>
          <w:lang w:val="en-GB" w:eastAsia="ro-MD"/>
        </w:rPr>
        <w:t>:</w:t>
      </w:r>
    </w:p>
    <w:p w14:paraId="2F4202EF" w14:textId="396DFD9A" w:rsidR="000E2704" w:rsidRPr="003101B1" w:rsidRDefault="00D71E21" w:rsidP="00FF10CA">
      <w:pPr>
        <w:pStyle w:val="ListParagraph"/>
        <w:numPr>
          <w:ilvl w:val="2"/>
          <w:numId w:val="27"/>
        </w:numPr>
        <w:ind w:left="0" w:firstLine="568"/>
        <w:rPr>
          <w:lang w:val="en-GB" w:eastAsia="ro-MD"/>
        </w:rPr>
      </w:pPr>
      <w:r w:rsidRPr="003101B1">
        <w:rPr>
          <w:lang w:val="en-GB" w:eastAsia="ro-MD"/>
        </w:rPr>
        <w:t>in letter</w:t>
      </w:r>
      <w:r w:rsidR="000E2704" w:rsidRPr="003101B1">
        <w:rPr>
          <w:lang w:val="en-GB" w:eastAsia="ro-MD"/>
        </w:rPr>
        <w:t xml:space="preserve"> a)</w:t>
      </w:r>
      <w:r w:rsidR="00F34C6E" w:rsidRPr="003101B1">
        <w:rPr>
          <w:lang w:val="en-GB" w:eastAsia="ro-MD"/>
        </w:rPr>
        <w:t>,</w:t>
      </w:r>
      <w:r w:rsidR="000E2704" w:rsidRPr="003101B1">
        <w:rPr>
          <w:lang w:val="en-GB" w:eastAsia="ro-MD"/>
        </w:rPr>
        <w:t xml:space="preserve"> </w:t>
      </w:r>
      <w:r w:rsidRPr="003101B1">
        <w:rPr>
          <w:lang w:val="en-GB" w:eastAsia="ro-MD"/>
        </w:rPr>
        <w:t>the text</w:t>
      </w:r>
      <w:r w:rsidR="008E7520" w:rsidRPr="003101B1">
        <w:rPr>
          <w:lang w:val="en-GB" w:eastAsia="ro-MD"/>
        </w:rPr>
        <w:t xml:space="preserve"> </w:t>
      </w:r>
      <w:r w:rsidRPr="003101B1">
        <w:rPr>
          <w:lang w:val="en-GB" w:eastAsia="ro-MD"/>
        </w:rPr>
        <w:t xml:space="preserve">“paragraphs </w:t>
      </w:r>
      <w:r w:rsidR="000E2704" w:rsidRPr="003101B1">
        <w:rPr>
          <w:lang w:val="en-GB" w:eastAsia="ro-MD"/>
        </w:rPr>
        <w:t>26</w:t>
      </w:r>
      <w:r w:rsidR="008E7520" w:rsidRPr="003101B1">
        <w:rPr>
          <w:lang w:val="en-GB" w:eastAsia="ro-MD"/>
        </w:rPr>
        <w:t>-29</w:t>
      </w:r>
      <w:r w:rsidR="000E2704" w:rsidRPr="003101B1">
        <w:rPr>
          <w:lang w:val="en-GB" w:eastAsia="ro-MD"/>
        </w:rPr>
        <w:t xml:space="preserve">” </w:t>
      </w:r>
      <w:r w:rsidRPr="003101B1">
        <w:rPr>
          <w:lang w:val="en-GB" w:eastAsia="ro-MD"/>
        </w:rPr>
        <w:t>shall be replaced with the text</w:t>
      </w:r>
      <w:r w:rsidR="008E7520" w:rsidRPr="003101B1">
        <w:rPr>
          <w:lang w:val="en-GB" w:eastAsia="ro-MD"/>
        </w:rPr>
        <w:t xml:space="preserve"> </w:t>
      </w:r>
      <w:r w:rsidRPr="003101B1">
        <w:rPr>
          <w:lang w:val="en-GB" w:eastAsia="ro-MD"/>
        </w:rPr>
        <w:t>“</w:t>
      </w:r>
      <w:r w:rsidR="009C68D6" w:rsidRPr="003101B1">
        <w:rPr>
          <w:lang w:val="en-GB" w:eastAsia="ro-MD"/>
        </w:rPr>
        <w:t>p</w:t>
      </w:r>
      <w:r w:rsidRPr="003101B1">
        <w:rPr>
          <w:lang w:val="en-GB" w:eastAsia="ro-MD"/>
        </w:rPr>
        <w:t>aragraphs</w:t>
      </w:r>
      <w:r w:rsidR="009C68D6" w:rsidRPr="003101B1">
        <w:rPr>
          <w:lang w:val="en-GB" w:eastAsia="ro-MD"/>
        </w:rPr>
        <w:t xml:space="preserve"> </w:t>
      </w:r>
      <w:r w:rsidR="000E2704" w:rsidRPr="003101B1">
        <w:rPr>
          <w:lang w:val="en-GB" w:eastAsia="ro-MD"/>
        </w:rPr>
        <w:t>25</w:t>
      </w:r>
      <w:r w:rsidR="000E2704" w:rsidRPr="003101B1">
        <w:rPr>
          <w:vertAlign w:val="superscript"/>
          <w:lang w:val="en-GB" w:eastAsia="ro-MD"/>
        </w:rPr>
        <w:t>1</w:t>
      </w:r>
      <w:r w:rsidR="008E7520" w:rsidRPr="003101B1">
        <w:rPr>
          <w:lang w:val="en-GB" w:eastAsia="ro-MD"/>
        </w:rPr>
        <w:t>-29</w:t>
      </w:r>
      <w:r w:rsidR="000E2704" w:rsidRPr="003101B1">
        <w:rPr>
          <w:lang w:val="en-GB" w:eastAsia="ro-MD"/>
        </w:rPr>
        <w:t>”;</w:t>
      </w:r>
    </w:p>
    <w:p w14:paraId="29717167" w14:textId="359C2540" w:rsidR="009479A2" w:rsidRPr="003101B1" w:rsidRDefault="00D71E21" w:rsidP="00FF10CA">
      <w:pPr>
        <w:pStyle w:val="ListParagraph"/>
        <w:numPr>
          <w:ilvl w:val="2"/>
          <w:numId w:val="27"/>
        </w:numPr>
        <w:ind w:left="0" w:firstLine="568"/>
        <w:rPr>
          <w:lang w:val="en-GB" w:eastAsia="ro-MD"/>
        </w:rPr>
      </w:pPr>
      <w:r w:rsidRPr="003101B1">
        <w:rPr>
          <w:lang w:val="en-GB" w:eastAsia="ro-MD"/>
        </w:rPr>
        <w:t>in</w:t>
      </w:r>
      <w:r w:rsidR="00F34C6E" w:rsidRPr="003101B1">
        <w:rPr>
          <w:lang w:val="en-GB" w:eastAsia="ro-MD"/>
        </w:rPr>
        <w:t xml:space="preserve"> </w:t>
      </w:r>
      <w:r w:rsidR="009479A2" w:rsidRPr="003101B1">
        <w:rPr>
          <w:lang w:val="en-GB" w:eastAsia="ro-MD"/>
        </w:rPr>
        <w:t>l</w:t>
      </w:r>
      <w:r w:rsidRPr="003101B1">
        <w:rPr>
          <w:lang w:val="en-GB" w:eastAsia="ro-MD"/>
        </w:rPr>
        <w:t>etter</w:t>
      </w:r>
      <w:r w:rsidR="009479A2" w:rsidRPr="003101B1">
        <w:rPr>
          <w:lang w:val="en-GB" w:eastAsia="ro-MD"/>
        </w:rPr>
        <w:t xml:space="preserve"> b) t</w:t>
      </w:r>
      <w:r w:rsidRPr="003101B1">
        <w:rPr>
          <w:lang w:val="en-GB" w:eastAsia="ro-MD"/>
        </w:rPr>
        <w:t>he text</w:t>
      </w:r>
      <w:r w:rsidR="009479A2" w:rsidRPr="003101B1">
        <w:rPr>
          <w:lang w:val="en-GB" w:eastAsia="ro-MD"/>
        </w:rPr>
        <w:t xml:space="preserve"> </w:t>
      </w:r>
      <w:r w:rsidRPr="003101B1">
        <w:rPr>
          <w:lang w:val="en-GB" w:eastAsia="ro-MD"/>
        </w:rPr>
        <w:t>“</w:t>
      </w:r>
      <w:r w:rsidR="009479A2" w:rsidRPr="003101B1">
        <w:rPr>
          <w:lang w:val="en-GB" w:eastAsia="ro-MD"/>
        </w:rPr>
        <w:t xml:space="preserve">10) </w:t>
      </w:r>
      <w:r w:rsidRPr="003101B1">
        <w:rPr>
          <w:lang w:val="en-GB" w:eastAsia="ro-MD"/>
        </w:rPr>
        <w:t>and</w:t>
      </w:r>
      <w:r w:rsidR="009479A2" w:rsidRPr="003101B1">
        <w:rPr>
          <w:lang w:val="en-GB" w:eastAsia="ro-MD"/>
        </w:rPr>
        <w:t xml:space="preserve"> 11)” </w:t>
      </w:r>
      <w:r w:rsidRPr="003101B1">
        <w:rPr>
          <w:lang w:val="en-GB" w:eastAsia="ro-MD"/>
        </w:rPr>
        <w:t>shall be replaced with the text</w:t>
      </w:r>
      <w:r w:rsidR="009479A2" w:rsidRPr="003101B1">
        <w:rPr>
          <w:lang w:val="en-GB" w:eastAsia="ro-MD"/>
        </w:rPr>
        <w:t xml:space="preserve"> </w:t>
      </w:r>
      <w:r w:rsidRPr="003101B1">
        <w:rPr>
          <w:lang w:val="en-GB" w:eastAsia="ro-MD"/>
        </w:rPr>
        <w:t>“</w:t>
      </w:r>
      <w:r w:rsidR="009479A2" w:rsidRPr="003101B1">
        <w:rPr>
          <w:lang w:val="en-GB" w:eastAsia="ro-MD"/>
        </w:rPr>
        <w:t xml:space="preserve">10) </w:t>
      </w:r>
      <w:r w:rsidRPr="003101B1">
        <w:rPr>
          <w:lang w:val="en-GB" w:eastAsia="ro-MD"/>
        </w:rPr>
        <w:t>letters</w:t>
      </w:r>
      <w:r w:rsidR="009479A2" w:rsidRPr="003101B1">
        <w:rPr>
          <w:lang w:val="en-GB" w:eastAsia="ro-MD"/>
        </w:rPr>
        <w:t xml:space="preserve"> b) - e) </w:t>
      </w:r>
      <w:r w:rsidRPr="003101B1">
        <w:rPr>
          <w:lang w:val="en-GB" w:eastAsia="ro-MD"/>
        </w:rPr>
        <w:t xml:space="preserve">and </w:t>
      </w:r>
      <w:r w:rsidR="009479A2" w:rsidRPr="003101B1">
        <w:rPr>
          <w:lang w:val="en-GB" w:eastAsia="ro-MD"/>
        </w:rPr>
        <w:t>11) - 13)”.</w:t>
      </w:r>
    </w:p>
    <w:bookmarkEnd w:id="14"/>
    <w:p w14:paraId="2D7C9446" w14:textId="3AADBF1D" w:rsidR="009479A2" w:rsidRPr="003101B1" w:rsidRDefault="00D71E21" w:rsidP="00E91829">
      <w:pPr>
        <w:pStyle w:val="ListParagraph"/>
        <w:numPr>
          <w:ilvl w:val="1"/>
          <w:numId w:val="27"/>
        </w:numPr>
        <w:spacing w:before="80"/>
        <w:ind w:left="0" w:firstLine="568"/>
        <w:contextualSpacing w:val="0"/>
        <w:jc w:val="both"/>
        <w:rPr>
          <w:lang w:val="en-GB" w:eastAsia="ro-MD"/>
        </w:rPr>
      </w:pPr>
      <w:r w:rsidRPr="003101B1">
        <w:rPr>
          <w:lang w:val="en-GB" w:eastAsia="ro-MD"/>
        </w:rPr>
        <w:t>In</w:t>
      </w:r>
      <w:r w:rsidR="009479A2" w:rsidRPr="003101B1">
        <w:rPr>
          <w:lang w:val="en-GB" w:eastAsia="ro-MD"/>
        </w:rPr>
        <w:t xml:space="preserve"> </w:t>
      </w:r>
      <w:r w:rsidRPr="003101B1">
        <w:rPr>
          <w:lang w:val="en-GB" w:eastAsia="ro-MD"/>
        </w:rPr>
        <w:t>paragraph</w:t>
      </w:r>
      <w:r w:rsidR="009479A2" w:rsidRPr="003101B1">
        <w:rPr>
          <w:lang w:val="en-GB" w:eastAsia="ro-MD"/>
        </w:rPr>
        <w:t xml:space="preserve"> 59</w:t>
      </w:r>
      <w:r w:rsidR="00800652" w:rsidRPr="003101B1">
        <w:rPr>
          <w:lang w:val="en-GB" w:eastAsia="ro-MD"/>
        </w:rPr>
        <w:t>,</w:t>
      </w:r>
      <w:r w:rsidR="009479A2" w:rsidRPr="003101B1">
        <w:rPr>
          <w:lang w:val="en-GB" w:eastAsia="ro-MD"/>
        </w:rPr>
        <w:t xml:space="preserve"> </w:t>
      </w:r>
      <w:r w:rsidRPr="003101B1">
        <w:rPr>
          <w:lang w:val="en-GB" w:eastAsia="ro-MD"/>
        </w:rPr>
        <w:t>after the text</w:t>
      </w:r>
      <w:r w:rsidR="009479A2" w:rsidRPr="003101B1">
        <w:rPr>
          <w:lang w:val="en-GB" w:eastAsia="ro-MD"/>
        </w:rPr>
        <w:t xml:space="preserve"> </w:t>
      </w:r>
      <w:r w:rsidRPr="003101B1">
        <w:rPr>
          <w:lang w:val="en-GB" w:eastAsia="ro-MD"/>
        </w:rPr>
        <w:t>“</w:t>
      </w:r>
      <w:r w:rsidR="007D6281" w:rsidRPr="003101B1">
        <w:rPr>
          <w:lang w:val="en-GB" w:eastAsia="ro-MD"/>
        </w:rPr>
        <w:t>Regulation No 111/2018</w:t>
      </w:r>
      <w:r w:rsidR="009479A2" w:rsidRPr="003101B1">
        <w:rPr>
          <w:lang w:val="en-GB" w:eastAsia="ro-MD"/>
        </w:rPr>
        <w:t xml:space="preserve">” </w:t>
      </w:r>
      <w:r w:rsidR="007D6281" w:rsidRPr="003101B1">
        <w:rPr>
          <w:lang w:val="en-GB" w:eastAsia="ro-MD"/>
        </w:rPr>
        <w:t>the words “or in accordance with the National Bank of Moldova’s normative acts on the treatment of credit risk for banks under the Internal Ratings Based Approach</w:t>
      </w:r>
      <w:r w:rsidR="009479A2" w:rsidRPr="003101B1">
        <w:rPr>
          <w:lang w:val="en-GB" w:eastAsia="ro-MD"/>
        </w:rPr>
        <w:t>”</w:t>
      </w:r>
      <w:r w:rsidR="007D6281" w:rsidRPr="003101B1">
        <w:rPr>
          <w:lang w:val="en-GB" w:eastAsia="ro-MD"/>
        </w:rPr>
        <w:t xml:space="preserve"> shall be added</w:t>
      </w:r>
      <w:r w:rsidR="009479A2" w:rsidRPr="003101B1">
        <w:rPr>
          <w:lang w:val="en-GB" w:eastAsia="ro-MD"/>
        </w:rPr>
        <w:t>.</w:t>
      </w:r>
    </w:p>
    <w:p w14:paraId="640756CD" w14:textId="6B6C26F3" w:rsidR="009479A2" w:rsidRPr="003101B1" w:rsidRDefault="007D6281" w:rsidP="00E91829">
      <w:pPr>
        <w:pStyle w:val="ListParagraph"/>
        <w:numPr>
          <w:ilvl w:val="1"/>
          <w:numId w:val="27"/>
        </w:numPr>
        <w:spacing w:before="80"/>
        <w:ind w:left="0" w:firstLine="567"/>
        <w:contextualSpacing w:val="0"/>
        <w:rPr>
          <w:lang w:val="en-GB" w:eastAsia="ro-MD"/>
        </w:rPr>
      </w:pPr>
      <w:bookmarkStart w:id="15" w:name="_Hlk206758203"/>
      <w:r w:rsidRPr="003101B1">
        <w:rPr>
          <w:lang w:val="en-GB" w:eastAsia="ro-MD"/>
        </w:rPr>
        <w:t>In</w:t>
      </w:r>
      <w:r w:rsidR="009479A2" w:rsidRPr="003101B1">
        <w:rPr>
          <w:lang w:val="en-GB" w:eastAsia="ro-MD"/>
        </w:rPr>
        <w:t xml:space="preserve"> p</w:t>
      </w:r>
      <w:r w:rsidRPr="003101B1">
        <w:rPr>
          <w:lang w:val="en-GB" w:eastAsia="ro-MD"/>
        </w:rPr>
        <w:t>aragraph</w:t>
      </w:r>
      <w:r w:rsidR="009479A2" w:rsidRPr="003101B1">
        <w:rPr>
          <w:lang w:val="en-GB" w:eastAsia="ro-MD"/>
        </w:rPr>
        <w:t xml:space="preserve"> 63</w:t>
      </w:r>
      <w:r w:rsidR="002D3626" w:rsidRPr="003101B1">
        <w:rPr>
          <w:lang w:val="en-GB" w:eastAsia="ro-MD"/>
        </w:rPr>
        <w:t>, sub</w:t>
      </w:r>
      <w:r w:rsidRPr="003101B1">
        <w:rPr>
          <w:lang w:val="en-GB" w:eastAsia="ro-MD"/>
        </w:rPr>
        <w:t>-paragraph</w:t>
      </w:r>
      <w:r w:rsidR="002D3626" w:rsidRPr="003101B1">
        <w:rPr>
          <w:lang w:val="en-GB" w:eastAsia="ro-MD"/>
        </w:rPr>
        <w:t xml:space="preserve"> 1) </w:t>
      </w:r>
      <w:r w:rsidRPr="003101B1">
        <w:rPr>
          <w:lang w:val="en-GB" w:eastAsia="ro-MD"/>
        </w:rPr>
        <w:t>and</w:t>
      </w:r>
      <w:r w:rsidR="002D3626" w:rsidRPr="003101B1">
        <w:rPr>
          <w:lang w:val="en-GB" w:eastAsia="ro-MD"/>
        </w:rPr>
        <w:t xml:space="preserve"> 2)</w:t>
      </w:r>
      <w:r w:rsidR="009479A2" w:rsidRPr="003101B1">
        <w:rPr>
          <w:lang w:val="en-GB" w:eastAsia="ro-MD"/>
        </w:rPr>
        <w:t>:</w:t>
      </w:r>
    </w:p>
    <w:p w14:paraId="07BE4535" w14:textId="2726EC5C" w:rsidR="009C68D6" w:rsidRPr="003101B1" w:rsidRDefault="00800652" w:rsidP="009C68D6">
      <w:pPr>
        <w:pStyle w:val="ListParagraph"/>
        <w:numPr>
          <w:ilvl w:val="2"/>
          <w:numId w:val="27"/>
        </w:numPr>
        <w:spacing w:before="80"/>
        <w:ind w:left="0" w:firstLine="567"/>
        <w:contextualSpacing w:val="0"/>
        <w:rPr>
          <w:lang w:val="en-GB" w:eastAsia="ro-MD"/>
        </w:rPr>
      </w:pPr>
      <w:r w:rsidRPr="003101B1">
        <w:rPr>
          <w:lang w:val="en-GB" w:eastAsia="ro-MD"/>
        </w:rPr>
        <w:t>l</w:t>
      </w:r>
      <w:r w:rsidR="007D6281" w:rsidRPr="003101B1">
        <w:rPr>
          <w:lang w:val="en-GB" w:eastAsia="ro-MD"/>
        </w:rPr>
        <w:t xml:space="preserve">etter </w:t>
      </w:r>
      <w:r w:rsidR="009C68D6" w:rsidRPr="003101B1">
        <w:rPr>
          <w:lang w:val="en-GB" w:eastAsia="ro-MD"/>
        </w:rPr>
        <w:t xml:space="preserve">a), </w:t>
      </w:r>
      <w:r w:rsidR="007D6281" w:rsidRPr="003101B1">
        <w:rPr>
          <w:lang w:val="en-GB" w:eastAsia="ro-MD"/>
        </w:rPr>
        <w:t>the text</w:t>
      </w:r>
      <w:r w:rsidR="009C68D6" w:rsidRPr="003101B1">
        <w:rPr>
          <w:lang w:val="en-GB" w:eastAsia="ro-MD"/>
        </w:rPr>
        <w:t xml:space="preserve"> </w:t>
      </w:r>
      <w:r w:rsidR="007D6281" w:rsidRPr="003101B1">
        <w:rPr>
          <w:lang w:val="en-GB" w:eastAsia="ro-MD"/>
        </w:rPr>
        <w:t>“paragraphs</w:t>
      </w:r>
      <w:r w:rsidR="009C68D6" w:rsidRPr="003101B1">
        <w:rPr>
          <w:lang w:val="en-GB" w:eastAsia="ro-MD"/>
        </w:rPr>
        <w:t xml:space="preserve"> 26-29” </w:t>
      </w:r>
      <w:r w:rsidR="007D6281" w:rsidRPr="003101B1">
        <w:rPr>
          <w:lang w:val="en-GB" w:eastAsia="ro-MD"/>
        </w:rPr>
        <w:t>shall be replaced with the text</w:t>
      </w:r>
      <w:r w:rsidR="009C68D6" w:rsidRPr="003101B1">
        <w:rPr>
          <w:lang w:val="en-GB" w:eastAsia="ro-MD"/>
        </w:rPr>
        <w:t xml:space="preserve"> </w:t>
      </w:r>
      <w:r w:rsidR="007D6281" w:rsidRPr="003101B1">
        <w:rPr>
          <w:lang w:val="en-GB" w:eastAsia="ro-MD"/>
        </w:rPr>
        <w:t>“paragraphs</w:t>
      </w:r>
      <w:r w:rsidR="009C68D6" w:rsidRPr="003101B1">
        <w:rPr>
          <w:lang w:val="en-GB" w:eastAsia="ro-MD"/>
        </w:rPr>
        <w:t xml:space="preserve"> 25</w:t>
      </w:r>
      <w:r w:rsidR="009C68D6" w:rsidRPr="003101B1">
        <w:rPr>
          <w:vertAlign w:val="superscript"/>
          <w:lang w:val="en-GB" w:eastAsia="ro-MD"/>
        </w:rPr>
        <w:t>1</w:t>
      </w:r>
      <w:r w:rsidR="009C68D6" w:rsidRPr="003101B1">
        <w:rPr>
          <w:lang w:val="en-GB" w:eastAsia="ro-MD"/>
        </w:rPr>
        <w:t>-29”;</w:t>
      </w:r>
    </w:p>
    <w:p w14:paraId="3EFBF83B" w14:textId="270B08E2" w:rsidR="009479A2" w:rsidRPr="003101B1" w:rsidRDefault="007D6281" w:rsidP="009C68D6">
      <w:pPr>
        <w:pStyle w:val="ListParagraph"/>
        <w:numPr>
          <w:ilvl w:val="2"/>
          <w:numId w:val="27"/>
        </w:numPr>
        <w:spacing w:before="80"/>
        <w:ind w:left="0" w:firstLine="567"/>
        <w:contextualSpacing w:val="0"/>
        <w:rPr>
          <w:lang w:val="en-GB" w:eastAsia="ro-MD"/>
        </w:rPr>
      </w:pPr>
      <w:r w:rsidRPr="003101B1">
        <w:rPr>
          <w:lang w:val="en-GB" w:eastAsia="ro-MD"/>
        </w:rPr>
        <w:t>letter</w:t>
      </w:r>
      <w:r w:rsidR="009C68D6" w:rsidRPr="003101B1">
        <w:rPr>
          <w:lang w:val="en-GB" w:eastAsia="ro-MD"/>
        </w:rPr>
        <w:t xml:space="preserve"> b)</w:t>
      </w:r>
      <w:bookmarkStart w:id="16" w:name="_Hlk206752572"/>
      <w:r w:rsidR="002D3626" w:rsidRPr="003101B1">
        <w:rPr>
          <w:lang w:val="en-GB" w:eastAsia="ro-MD"/>
        </w:rPr>
        <w:t>,</w:t>
      </w:r>
      <w:r w:rsidR="009479A2" w:rsidRPr="003101B1">
        <w:rPr>
          <w:lang w:val="en-GB" w:eastAsia="ro-MD"/>
        </w:rPr>
        <w:t xml:space="preserve"> </w:t>
      </w:r>
      <w:r w:rsidRPr="003101B1">
        <w:rPr>
          <w:lang w:val="en-GB" w:eastAsia="ro-MD"/>
        </w:rPr>
        <w:t>the text</w:t>
      </w:r>
      <w:r w:rsidR="009479A2" w:rsidRPr="003101B1">
        <w:rPr>
          <w:lang w:val="en-GB" w:eastAsia="ro-MD"/>
        </w:rPr>
        <w:t xml:space="preserve"> </w:t>
      </w:r>
      <w:r w:rsidRPr="003101B1">
        <w:rPr>
          <w:lang w:val="en-GB" w:eastAsia="ro-MD"/>
        </w:rPr>
        <w:t>“</w:t>
      </w:r>
      <w:r w:rsidR="009479A2" w:rsidRPr="003101B1">
        <w:rPr>
          <w:lang w:val="en-GB" w:eastAsia="ro-MD"/>
        </w:rPr>
        <w:t xml:space="preserve">10) </w:t>
      </w:r>
      <w:r w:rsidRPr="003101B1">
        <w:rPr>
          <w:lang w:val="en-GB" w:eastAsia="ro-MD"/>
        </w:rPr>
        <w:t>-</w:t>
      </w:r>
      <w:r w:rsidR="009479A2" w:rsidRPr="003101B1">
        <w:rPr>
          <w:lang w:val="en-GB" w:eastAsia="ro-MD"/>
        </w:rPr>
        <w:t xml:space="preserve"> 11)” </w:t>
      </w:r>
      <w:r w:rsidRPr="003101B1">
        <w:rPr>
          <w:lang w:val="en-GB" w:eastAsia="ro-MD"/>
        </w:rPr>
        <w:t>shall be replaced with the text</w:t>
      </w:r>
      <w:r w:rsidR="009479A2" w:rsidRPr="003101B1">
        <w:rPr>
          <w:lang w:val="en-GB" w:eastAsia="ro-MD"/>
        </w:rPr>
        <w:t xml:space="preserve"> </w:t>
      </w:r>
      <w:r w:rsidRPr="003101B1">
        <w:rPr>
          <w:lang w:val="en-GB" w:eastAsia="ro-MD"/>
        </w:rPr>
        <w:t>“</w:t>
      </w:r>
      <w:r w:rsidR="009479A2" w:rsidRPr="003101B1">
        <w:rPr>
          <w:lang w:val="en-GB" w:eastAsia="ro-MD"/>
        </w:rPr>
        <w:t xml:space="preserve">10) </w:t>
      </w:r>
      <w:r w:rsidRPr="003101B1">
        <w:rPr>
          <w:lang w:val="en-GB" w:eastAsia="ro-MD"/>
        </w:rPr>
        <w:t>letters</w:t>
      </w:r>
      <w:r w:rsidR="009479A2" w:rsidRPr="003101B1">
        <w:rPr>
          <w:lang w:val="en-GB" w:eastAsia="ro-MD"/>
        </w:rPr>
        <w:t xml:space="preserve"> b) - e) </w:t>
      </w:r>
      <w:r w:rsidRPr="003101B1">
        <w:rPr>
          <w:lang w:val="en-GB" w:eastAsia="ro-MD"/>
        </w:rPr>
        <w:t>and</w:t>
      </w:r>
      <w:r w:rsidR="009479A2" w:rsidRPr="003101B1">
        <w:rPr>
          <w:lang w:val="en-GB" w:eastAsia="ro-MD"/>
        </w:rPr>
        <w:t xml:space="preserve"> 11) - 13)”</w:t>
      </w:r>
      <w:r w:rsidR="002D3626" w:rsidRPr="003101B1">
        <w:rPr>
          <w:lang w:val="en-GB" w:eastAsia="ro-MD"/>
        </w:rPr>
        <w:t>.</w:t>
      </w:r>
    </w:p>
    <w:bookmarkEnd w:id="15"/>
    <w:bookmarkEnd w:id="16"/>
    <w:p w14:paraId="32E4067A" w14:textId="6EF18ACB" w:rsidR="00EB61FA" w:rsidRPr="003101B1" w:rsidRDefault="007D6281" w:rsidP="00E91829">
      <w:pPr>
        <w:pStyle w:val="ListParagraph"/>
        <w:numPr>
          <w:ilvl w:val="1"/>
          <w:numId w:val="27"/>
        </w:numPr>
        <w:spacing w:before="80"/>
        <w:ind w:left="0" w:firstLine="567"/>
        <w:contextualSpacing w:val="0"/>
        <w:rPr>
          <w:lang w:val="en-GB" w:eastAsia="ro-MD"/>
        </w:rPr>
      </w:pPr>
      <w:r w:rsidRPr="003101B1">
        <w:rPr>
          <w:lang w:val="en-GB" w:eastAsia="ro-MD"/>
        </w:rPr>
        <w:t>In paragraph</w:t>
      </w:r>
      <w:r w:rsidR="00EB61FA" w:rsidRPr="003101B1">
        <w:rPr>
          <w:lang w:val="en-GB" w:eastAsia="ro-MD"/>
        </w:rPr>
        <w:t xml:space="preserve"> 64 sub</w:t>
      </w:r>
      <w:r w:rsidRPr="003101B1">
        <w:rPr>
          <w:lang w:val="en-GB" w:eastAsia="ro-MD"/>
        </w:rPr>
        <w:t>-paragraph</w:t>
      </w:r>
      <w:r w:rsidR="00EB61FA" w:rsidRPr="003101B1">
        <w:rPr>
          <w:lang w:val="en-GB" w:eastAsia="ro-MD"/>
        </w:rPr>
        <w:t xml:space="preserve"> 1)</w:t>
      </w:r>
      <w:r w:rsidR="00B129E7" w:rsidRPr="003101B1">
        <w:rPr>
          <w:lang w:val="en-GB" w:eastAsia="ro-MD"/>
        </w:rPr>
        <w:t>,</w:t>
      </w:r>
      <w:r w:rsidR="00EB61FA" w:rsidRPr="003101B1">
        <w:rPr>
          <w:lang w:val="en-GB" w:eastAsia="ro-MD"/>
        </w:rPr>
        <w:t xml:space="preserve"> </w:t>
      </w:r>
      <w:r w:rsidR="009C68D6" w:rsidRPr="003101B1">
        <w:rPr>
          <w:lang w:val="en-GB" w:eastAsia="ro-MD"/>
        </w:rPr>
        <w:t>t</w:t>
      </w:r>
      <w:r w:rsidRPr="003101B1">
        <w:rPr>
          <w:lang w:val="en-GB" w:eastAsia="ro-MD"/>
        </w:rPr>
        <w:t>he text</w:t>
      </w:r>
      <w:r w:rsidR="009C68D6" w:rsidRPr="003101B1">
        <w:rPr>
          <w:lang w:val="en-GB" w:eastAsia="ro-MD"/>
        </w:rPr>
        <w:t xml:space="preserve"> </w:t>
      </w:r>
      <w:r w:rsidRPr="003101B1">
        <w:rPr>
          <w:lang w:val="en-GB" w:eastAsia="ro-MD"/>
        </w:rPr>
        <w:t xml:space="preserve">“paragraphs </w:t>
      </w:r>
      <w:r w:rsidR="00EB61FA" w:rsidRPr="003101B1">
        <w:rPr>
          <w:lang w:val="en-GB" w:eastAsia="ro-MD"/>
        </w:rPr>
        <w:t>26</w:t>
      </w:r>
      <w:r w:rsidR="009C68D6" w:rsidRPr="003101B1">
        <w:rPr>
          <w:lang w:val="en-GB" w:eastAsia="ro-MD"/>
        </w:rPr>
        <w:t>-30</w:t>
      </w:r>
      <w:r w:rsidR="00EB61FA" w:rsidRPr="003101B1">
        <w:rPr>
          <w:lang w:val="en-GB" w:eastAsia="ro-MD"/>
        </w:rPr>
        <w:t xml:space="preserve">” </w:t>
      </w:r>
      <w:r w:rsidRPr="003101B1">
        <w:rPr>
          <w:lang w:val="en-GB" w:eastAsia="ro-MD"/>
        </w:rPr>
        <w:t>shall be replaced with the text</w:t>
      </w:r>
      <w:r w:rsidR="009C68D6" w:rsidRPr="003101B1">
        <w:rPr>
          <w:lang w:val="en-GB" w:eastAsia="ro-MD"/>
        </w:rPr>
        <w:t xml:space="preserve"> </w:t>
      </w:r>
      <w:r w:rsidRPr="003101B1">
        <w:rPr>
          <w:lang w:val="en-GB" w:eastAsia="ro-MD"/>
        </w:rPr>
        <w:t>“</w:t>
      </w:r>
      <w:r w:rsidR="009C68D6" w:rsidRPr="003101B1">
        <w:rPr>
          <w:lang w:val="en-GB" w:eastAsia="ro-MD"/>
        </w:rPr>
        <w:t>p</w:t>
      </w:r>
      <w:r w:rsidRPr="003101B1">
        <w:rPr>
          <w:lang w:val="en-GB" w:eastAsia="ro-MD"/>
        </w:rPr>
        <w:t>aragraphs</w:t>
      </w:r>
      <w:r w:rsidR="009C68D6" w:rsidRPr="003101B1">
        <w:rPr>
          <w:lang w:val="en-GB" w:eastAsia="ro-MD"/>
        </w:rPr>
        <w:t xml:space="preserve"> </w:t>
      </w:r>
      <w:r w:rsidR="00EB61FA" w:rsidRPr="003101B1">
        <w:rPr>
          <w:lang w:val="en-GB" w:eastAsia="ro-MD"/>
        </w:rPr>
        <w:t>25</w:t>
      </w:r>
      <w:r w:rsidR="00EB61FA" w:rsidRPr="003101B1">
        <w:rPr>
          <w:vertAlign w:val="superscript"/>
          <w:lang w:val="en-GB" w:eastAsia="ro-MD"/>
        </w:rPr>
        <w:t>1</w:t>
      </w:r>
      <w:r w:rsidR="009C68D6" w:rsidRPr="003101B1">
        <w:rPr>
          <w:lang w:val="en-GB" w:eastAsia="ro-MD"/>
        </w:rPr>
        <w:t>-30</w:t>
      </w:r>
      <w:r w:rsidR="00EB61FA" w:rsidRPr="003101B1">
        <w:rPr>
          <w:lang w:val="en-GB" w:eastAsia="ro-MD"/>
        </w:rPr>
        <w:t>”.</w:t>
      </w:r>
    </w:p>
    <w:p w14:paraId="1C0D4049" w14:textId="5859AE99" w:rsidR="00EB61FA" w:rsidRPr="003101B1" w:rsidRDefault="007D6281" w:rsidP="00E91829">
      <w:pPr>
        <w:pStyle w:val="ListParagraph"/>
        <w:numPr>
          <w:ilvl w:val="1"/>
          <w:numId w:val="27"/>
        </w:numPr>
        <w:spacing w:before="80"/>
        <w:ind w:left="0" w:firstLine="567"/>
        <w:contextualSpacing w:val="0"/>
        <w:rPr>
          <w:lang w:val="en-GB" w:eastAsia="ro-MD"/>
        </w:rPr>
      </w:pPr>
      <w:r w:rsidRPr="003101B1">
        <w:rPr>
          <w:lang w:val="en-GB" w:eastAsia="ro-MD"/>
        </w:rPr>
        <w:t>Chapter</w:t>
      </w:r>
      <w:r w:rsidR="00623BA7" w:rsidRPr="003101B1">
        <w:rPr>
          <w:lang w:val="en-GB" w:eastAsia="ro-MD"/>
        </w:rPr>
        <w:t xml:space="preserve"> III </w:t>
      </w:r>
      <w:r w:rsidRPr="003101B1">
        <w:rPr>
          <w:lang w:val="en-GB" w:eastAsia="ro-MD"/>
        </w:rPr>
        <w:t>Section</w:t>
      </w:r>
      <w:r w:rsidR="00623BA7" w:rsidRPr="003101B1">
        <w:rPr>
          <w:lang w:val="en-GB" w:eastAsia="ro-MD"/>
        </w:rPr>
        <w:t xml:space="preserve"> 3</w:t>
      </w:r>
      <w:r w:rsidR="0016632B" w:rsidRPr="003101B1">
        <w:rPr>
          <w:lang w:val="en-GB" w:eastAsia="ro-MD"/>
        </w:rPr>
        <w:t>,</w:t>
      </w:r>
      <w:r w:rsidR="002F4BA7" w:rsidRPr="003101B1">
        <w:rPr>
          <w:lang w:val="en-GB" w:eastAsia="ro-MD"/>
        </w:rPr>
        <w:t xml:space="preserve"> </w:t>
      </w:r>
      <w:r w:rsidRPr="003101B1">
        <w:rPr>
          <w:lang w:val="en-GB" w:eastAsia="ro-MD"/>
        </w:rPr>
        <w:t>shall be supplemented with Subsections</w:t>
      </w:r>
      <w:r w:rsidR="00EB61FA" w:rsidRPr="003101B1">
        <w:rPr>
          <w:lang w:val="en-GB" w:eastAsia="ro-MD"/>
        </w:rPr>
        <w:t xml:space="preserve"> 11 </w:t>
      </w:r>
      <w:r w:rsidRPr="003101B1">
        <w:rPr>
          <w:lang w:val="en-GB" w:eastAsia="ro-MD"/>
        </w:rPr>
        <w:t>and</w:t>
      </w:r>
      <w:r w:rsidR="002F4BA7" w:rsidRPr="003101B1">
        <w:rPr>
          <w:lang w:val="en-GB" w:eastAsia="ro-MD"/>
        </w:rPr>
        <w:t xml:space="preserve"> </w:t>
      </w:r>
      <w:r w:rsidR="00EB61FA" w:rsidRPr="003101B1">
        <w:rPr>
          <w:lang w:val="en-GB" w:eastAsia="ro-MD"/>
        </w:rPr>
        <w:t xml:space="preserve">12 </w:t>
      </w:r>
      <w:r w:rsidRPr="003101B1">
        <w:rPr>
          <w:lang w:val="en-GB" w:eastAsia="ro-MD"/>
        </w:rPr>
        <w:t>with the following content</w:t>
      </w:r>
      <w:r w:rsidR="00EB61FA" w:rsidRPr="003101B1">
        <w:rPr>
          <w:lang w:val="en-GB" w:eastAsia="ro-MD"/>
        </w:rPr>
        <w:t>:</w:t>
      </w:r>
    </w:p>
    <w:p w14:paraId="0770C957" w14:textId="71B4E81E" w:rsidR="00EB61FA" w:rsidRPr="003101B1" w:rsidRDefault="007D6281" w:rsidP="0016632B">
      <w:pPr>
        <w:ind w:firstLine="568"/>
        <w:jc w:val="center"/>
        <w:rPr>
          <w:lang w:val="en-GB" w:eastAsia="ro-MD"/>
        </w:rPr>
      </w:pPr>
      <w:r w:rsidRPr="003101B1">
        <w:rPr>
          <w:lang w:val="en-GB" w:eastAsia="ro-MD"/>
        </w:rPr>
        <w:t>“</w:t>
      </w:r>
      <w:r w:rsidR="00EB61FA" w:rsidRPr="003101B1">
        <w:rPr>
          <w:b/>
          <w:bCs/>
          <w:i/>
          <w:iCs/>
          <w:lang w:val="en-GB" w:eastAsia="ro-MD"/>
        </w:rPr>
        <w:t>Sub</w:t>
      </w:r>
      <w:r w:rsidRPr="003101B1">
        <w:rPr>
          <w:b/>
          <w:bCs/>
          <w:i/>
          <w:iCs/>
          <w:lang w:val="en-GB" w:eastAsia="ro-MD"/>
        </w:rPr>
        <w:t>section</w:t>
      </w:r>
      <w:r w:rsidR="00EB61FA" w:rsidRPr="003101B1">
        <w:rPr>
          <w:b/>
          <w:bCs/>
          <w:i/>
          <w:iCs/>
          <w:lang w:val="en-GB" w:eastAsia="ro-MD"/>
        </w:rPr>
        <w:t xml:space="preserve"> 11</w:t>
      </w:r>
    </w:p>
    <w:p w14:paraId="0CE8CFDF" w14:textId="462860D3" w:rsidR="00EB61FA" w:rsidRPr="003101B1" w:rsidRDefault="000801EC" w:rsidP="0016632B">
      <w:pPr>
        <w:ind w:firstLine="568"/>
        <w:jc w:val="center"/>
        <w:rPr>
          <w:lang w:val="en-GB" w:eastAsia="ro-MD"/>
        </w:rPr>
      </w:pPr>
      <w:r w:rsidRPr="003101B1">
        <w:rPr>
          <w:b/>
          <w:bCs/>
          <w:i/>
          <w:iCs/>
          <w:lang w:val="en-GB" w:eastAsia="ro-MD"/>
        </w:rPr>
        <w:t>Non-performing exposures and forbearance measures</w:t>
      </w:r>
    </w:p>
    <w:p w14:paraId="49258C3E" w14:textId="1171D4E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w:t>
      </w:r>
      <w:r w:rsidRPr="003101B1">
        <w:rPr>
          <w:b/>
          <w:bCs/>
          <w:lang w:val="en-GB" w:eastAsia="ro-MD"/>
        </w:rPr>
        <w:t>.</w:t>
      </w:r>
      <w:r w:rsidRPr="003101B1">
        <w:rPr>
          <w:lang w:val="en-GB" w:eastAsia="ro-MD"/>
        </w:rPr>
        <w:t xml:space="preserve"> </w:t>
      </w:r>
      <w:r w:rsidR="00CA339F" w:rsidRPr="003101B1">
        <w:rPr>
          <w:lang w:val="en-GB" w:eastAsia="ro-MD"/>
        </w:rPr>
        <w:t xml:space="preserve">For the purposes of paragraph </w:t>
      </w:r>
      <w:r w:rsidRPr="003101B1">
        <w:rPr>
          <w:lang w:val="en-GB" w:eastAsia="ro-MD"/>
        </w:rPr>
        <w:t>30 sub</w:t>
      </w:r>
      <w:r w:rsidR="00CA339F" w:rsidRPr="003101B1">
        <w:rPr>
          <w:lang w:val="en-GB" w:eastAsia="ro-MD"/>
        </w:rPr>
        <w:t xml:space="preserve">-paragraph </w:t>
      </w:r>
      <w:r w:rsidRPr="003101B1">
        <w:rPr>
          <w:lang w:val="en-GB" w:eastAsia="ro-MD"/>
        </w:rPr>
        <w:t xml:space="preserve">12), </w:t>
      </w:r>
      <w:r w:rsidR="00CA339F" w:rsidRPr="003101B1">
        <w:rPr>
          <w:lang w:val="en-GB" w:eastAsia="ro-MD"/>
        </w:rPr>
        <w:t>the term</w:t>
      </w:r>
      <w:r w:rsidRPr="003101B1">
        <w:rPr>
          <w:lang w:val="en-GB" w:eastAsia="ro-MD"/>
        </w:rPr>
        <w:t xml:space="preserve"> </w:t>
      </w:r>
      <w:r w:rsidR="00CA339F" w:rsidRPr="003101B1">
        <w:rPr>
          <w:lang w:val="en-GB" w:eastAsia="ro-MD"/>
        </w:rPr>
        <w:t>“</w:t>
      </w:r>
      <w:r w:rsidRPr="003101B1">
        <w:rPr>
          <w:lang w:val="en-GB" w:eastAsia="ro-MD"/>
        </w:rPr>
        <w:t>ex</w:t>
      </w:r>
      <w:r w:rsidR="00CA339F" w:rsidRPr="003101B1">
        <w:rPr>
          <w:lang w:val="en-GB" w:eastAsia="ro-MD"/>
        </w:rPr>
        <w:t>posure</w:t>
      </w:r>
      <w:r w:rsidRPr="003101B1">
        <w:rPr>
          <w:lang w:val="en-GB" w:eastAsia="ro-MD"/>
        </w:rPr>
        <w:t xml:space="preserve">” </w:t>
      </w:r>
      <w:r w:rsidR="00CA339F" w:rsidRPr="003101B1">
        <w:rPr>
          <w:lang w:val="en-GB" w:eastAsia="ro-MD"/>
        </w:rPr>
        <w:t>shall include any of the following items, provided they are not included in the trading book of the bank</w:t>
      </w:r>
      <w:r w:rsidRPr="003101B1">
        <w:rPr>
          <w:lang w:val="en-GB" w:eastAsia="ro-MD"/>
        </w:rPr>
        <w:t>:</w:t>
      </w:r>
    </w:p>
    <w:p w14:paraId="40821352" w14:textId="7CC91640" w:rsidR="00EB61FA" w:rsidRPr="003101B1" w:rsidRDefault="00EB61FA" w:rsidP="0016632B">
      <w:pPr>
        <w:jc w:val="both"/>
        <w:rPr>
          <w:lang w:val="en-GB" w:eastAsia="ro-MD"/>
        </w:rPr>
      </w:pPr>
      <w:r w:rsidRPr="003101B1">
        <w:rPr>
          <w:lang w:val="en-GB" w:eastAsia="ro-MD"/>
        </w:rPr>
        <w:t xml:space="preserve">1) </w:t>
      </w:r>
      <w:r w:rsidR="00CA339F" w:rsidRPr="003101B1">
        <w:rPr>
          <w:lang w:val="en-GB" w:eastAsia="ro-MD"/>
        </w:rPr>
        <w:t>a debt instrument, including a debt security, a loan, an advance and a demand deposit</w:t>
      </w:r>
      <w:r w:rsidRPr="003101B1">
        <w:rPr>
          <w:lang w:val="en-GB" w:eastAsia="ro-MD"/>
        </w:rPr>
        <w:t>;</w:t>
      </w:r>
    </w:p>
    <w:p w14:paraId="592C00BD" w14:textId="5D449BFC" w:rsidR="00EB61FA" w:rsidRPr="003101B1" w:rsidRDefault="00EB61FA" w:rsidP="0016632B">
      <w:pPr>
        <w:jc w:val="both"/>
        <w:rPr>
          <w:lang w:val="en-GB" w:eastAsia="ro-MD"/>
        </w:rPr>
      </w:pPr>
      <w:r w:rsidRPr="003101B1">
        <w:rPr>
          <w:lang w:val="en-GB" w:eastAsia="ro-MD"/>
        </w:rPr>
        <w:t xml:space="preserve">2) </w:t>
      </w:r>
      <w:r w:rsidR="00CA339F" w:rsidRPr="003101B1">
        <w:rPr>
          <w:lang w:val="en-GB" w:eastAsia="ro-MD"/>
        </w:rPr>
        <w:t>a loan commitment given, a financial guarantee given or any other commitment given, irrespective of whether it is revocable or irrevocable, with the exception of undrawn credit facilities that may be cancelled unconditionally at any time and without notice, or that effectively provide for automatic cancellation due to deterioration in the borrower's creditworthiness</w:t>
      </w:r>
      <w:r w:rsidRPr="003101B1">
        <w:rPr>
          <w:lang w:val="en-GB" w:eastAsia="ro-MD"/>
        </w:rPr>
        <w:t>.</w:t>
      </w:r>
    </w:p>
    <w:p w14:paraId="0825253C" w14:textId="3A43DCC2"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CA339F" w:rsidRPr="003101B1">
        <w:rPr>
          <w:lang w:val="en-GB" w:eastAsia="ro-MD"/>
        </w:rPr>
        <w:t xml:space="preserve">For the purposes of paragraph </w:t>
      </w:r>
      <w:r w:rsidRPr="003101B1">
        <w:rPr>
          <w:lang w:val="en-GB" w:eastAsia="ro-MD"/>
        </w:rPr>
        <w:t>30 sub</w:t>
      </w:r>
      <w:r w:rsidR="00CA339F" w:rsidRPr="003101B1">
        <w:rPr>
          <w:lang w:val="en-GB" w:eastAsia="ro-MD"/>
        </w:rPr>
        <w:t>-paragraph</w:t>
      </w:r>
      <w:r w:rsidRPr="003101B1">
        <w:rPr>
          <w:lang w:val="en-GB" w:eastAsia="ro-MD"/>
        </w:rPr>
        <w:t xml:space="preserve"> 12), </w:t>
      </w:r>
      <w:r w:rsidR="00CA339F" w:rsidRPr="003101B1">
        <w:rPr>
          <w:lang w:val="en-GB" w:eastAsia="ro-MD"/>
        </w:rPr>
        <w:t>the exposure value of a debt instrument shall be its accounting value measured without taking into account any specific credit risk adjustments, additional value adjustments in accordance with</w:t>
      </w:r>
      <w:r w:rsidRPr="003101B1">
        <w:rPr>
          <w:lang w:val="en-GB" w:eastAsia="ro-MD"/>
        </w:rPr>
        <w:t xml:space="preserve"> </w:t>
      </w:r>
      <w:r w:rsidR="00CA339F" w:rsidRPr="003101B1">
        <w:rPr>
          <w:lang w:val="en-GB" w:eastAsia="ro-MD"/>
        </w:rPr>
        <w:t xml:space="preserve">paragraph </w:t>
      </w:r>
      <w:r w:rsidRPr="003101B1">
        <w:rPr>
          <w:lang w:val="en-GB" w:eastAsia="ro-MD"/>
        </w:rPr>
        <w:t>28 sub</w:t>
      </w:r>
      <w:r w:rsidR="00CA339F" w:rsidRPr="003101B1">
        <w:rPr>
          <w:lang w:val="en-GB" w:eastAsia="ro-MD"/>
        </w:rPr>
        <w:t xml:space="preserve">-paragraph </w:t>
      </w:r>
      <w:r w:rsidRPr="003101B1">
        <w:rPr>
          <w:lang w:val="en-GB" w:eastAsia="ro-MD"/>
        </w:rPr>
        <w:t>1</w:t>
      </w:r>
      <w:r w:rsidR="00633075" w:rsidRPr="003101B1">
        <w:rPr>
          <w:lang w:val="en-GB" w:eastAsia="ro-MD"/>
        </w:rPr>
        <w:t>)</w:t>
      </w:r>
      <w:r w:rsidRPr="003101B1">
        <w:rPr>
          <w:lang w:val="en-GB" w:eastAsia="ro-MD"/>
        </w:rPr>
        <w:t xml:space="preserve"> </w:t>
      </w:r>
      <w:r w:rsidR="00794FB2" w:rsidRPr="003101B1">
        <w:rPr>
          <w:lang w:val="en-GB" w:eastAsia="ro-MD"/>
        </w:rPr>
        <w:t>and</w:t>
      </w:r>
      <w:r w:rsidRPr="003101B1">
        <w:rPr>
          <w:lang w:val="en-GB" w:eastAsia="ro-MD"/>
        </w:rPr>
        <w:t xml:space="preserve"> </w:t>
      </w:r>
      <w:r w:rsidR="00794FB2" w:rsidRPr="003101B1">
        <w:rPr>
          <w:lang w:val="en-GB" w:eastAsia="ro-MD"/>
        </w:rPr>
        <w:t>amounts deducted in accordance with</w:t>
      </w:r>
      <w:r w:rsidRPr="003101B1">
        <w:rPr>
          <w:lang w:val="en-GB" w:eastAsia="ro-MD"/>
        </w:rPr>
        <w:t xml:space="preserve"> </w:t>
      </w:r>
      <w:r w:rsidR="00794FB2" w:rsidRPr="003101B1">
        <w:rPr>
          <w:lang w:val="en-GB" w:eastAsia="ro-MD"/>
        </w:rPr>
        <w:t>paragraph</w:t>
      </w:r>
      <w:r w:rsidRPr="003101B1">
        <w:rPr>
          <w:lang w:val="en-GB" w:eastAsia="ro-MD"/>
        </w:rPr>
        <w:t xml:space="preserve"> 30 sub</w:t>
      </w:r>
      <w:r w:rsidR="00794FB2" w:rsidRPr="003101B1">
        <w:rPr>
          <w:lang w:val="en-GB" w:eastAsia="ro-MD"/>
        </w:rPr>
        <w:t>-</w:t>
      </w:r>
      <w:r w:rsidRPr="003101B1">
        <w:rPr>
          <w:lang w:val="en-GB" w:eastAsia="ro-MD"/>
        </w:rPr>
        <w:t>p</w:t>
      </w:r>
      <w:r w:rsidR="00794FB2" w:rsidRPr="003101B1">
        <w:rPr>
          <w:lang w:val="en-GB" w:eastAsia="ro-MD"/>
        </w:rPr>
        <w:t>aragraph</w:t>
      </w:r>
      <w:r w:rsidRPr="003101B1">
        <w:rPr>
          <w:lang w:val="en-GB" w:eastAsia="ro-MD"/>
        </w:rPr>
        <w:t xml:space="preserve"> 12), </w:t>
      </w:r>
      <w:r w:rsidR="00794FB2" w:rsidRPr="003101B1">
        <w:rPr>
          <w:lang w:val="en-GB" w:eastAsia="ro-MD"/>
        </w:rPr>
        <w:t>other own funds reductions related to the exposure or partial write-offs made by the institution since the last time the exposure was classified as non-performing</w:t>
      </w:r>
      <w:r w:rsidRPr="003101B1">
        <w:rPr>
          <w:lang w:val="en-GB" w:eastAsia="ro-MD"/>
        </w:rPr>
        <w:t>.</w:t>
      </w:r>
    </w:p>
    <w:p w14:paraId="141228B8" w14:textId="492AEC3C"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3</w:t>
      </w:r>
      <w:r w:rsidRPr="003101B1">
        <w:rPr>
          <w:b/>
          <w:bCs/>
          <w:lang w:val="en-GB" w:eastAsia="ro-MD"/>
        </w:rPr>
        <w:t>.</w:t>
      </w:r>
      <w:r w:rsidRPr="003101B1">
        <w:rPr>
          <w:lang w:val="en-GB" w:eastAsia="ro-MD"/>
        </w:rPr>
        <w:t xml:space="preserve"> </w:t>
      </w:r>
      <w:r w:rsidR="00794FB2" w:rsidRPr="003101B1">
        <w:rPr>
          <w:lang w:val="en-GB" w:eastAsia="ro-MD"/>
        </w:rPr>
        <w:t xml:space="preserve">For the purposes of paragraph </w:t>
      </w:r>
      <w:r w:rsidRPr="003101B1">
        <w:rPr>
          <w:lang w:val="en-GB" w:eastAsia="ro-MD"/>
        </w:rPr>
        <w:t>30 sub</w:t>
      </w:r>
      <w:r w:rsidR="00794FB2" w:rsidRPr="003101B1">
        <w:rPr>
          <w:lang w:val="en-GB" w:eastAsia="ro-MD"/>
        </w:rPr>
        <w:t>-paragraph</w:t>
      </w:r>
      <w:r w:rsidRPr="003101B1">
        <w:rPr>
          <w:lang w:val="en-GB" w:eastAsia="ro-MD"/>
        </w:rPr>
        <w:t xml:space="preserve"> 12), </w:t>
      </w:r>
      <w:r w:rsidR="00794FB2" w:rsidRPr="003101B1">
        <w:rPr>
          <w:lang w:val="en-GB" w:eastAsia="ro-MD"/>
        </w:rPr>
        <w:t>the exposure value of a debt instrument that was purchased at a price lower than the amount owed by the debtor shall include the difference between the purchase price and the amount owed by the debtor</w:t>
      </w:r>
      <w:r w:rsidRPr="003101B1">
        <w:rPr>
          <w:lang w:val="en-GB" w:eastAsia="ro-MD"/>
        </w:rPr>
        <w:t>.</w:t>
      </w:r>
    </w:p>
    <w:p w14:paraId="17B0DDFB" w14:textId="7CDAA9A8"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4</w:t>
      </w:r>
      <w:r w:rsidRPr="003101B1">
        <w:rPr>
          <w:b/>
          <w:bCs/>
          <w:lang w:val="en-GB" w:eastAsia="ro-MD"/>
        </w:rPr>
        <w:t xml:space="preserve">. </w:t>
      </w:r>
      <w:r w:rsidR="00794FB2" w:rsidRPr="003101B1">
        <w:rPr>
          <w:lang w:val="en-GB" w:eastAsia="ro-MD"/>
        </w:rPr>
        <w:t xml:space="preserve">For the purposes of paragraph </w:t>
      </w:r>
      <w:r w:rsidRPr="003101B1">
        <w:rPr>
          <w:lang w:val="en-GB" w:eastAsia="ro-MD"/>
        </w:rPr>
        <w:t xml:space="preserve">30 </w:t>
      </w:r>
      <w:r w:rsidR="00794FB2" w:rsidRPr="003101B1">
        <w:rPr>
          <w:lang w:val="en-GB" w:eastAsia="ro-MD"/>
        </w:rPr>
        <w:t>sub-paragraph</w:t>
      </w:r>
      <w:r w:rsidRPr="003101B1">
        <w:rPr>
          <w:lang w:val="en-GB" w:eastAsia="ro-MD"/>
        </w:rPr>
        <w:t xml:space="preserve"> 12), </w:t>
      </w:r>
      <w:r w:rsidR="00794FB2" w:rsidRPr="003101B1">
        <w:rPr>
          <w:lang w:val="en-GB" w:eastAsia="ro-MD"/>
        </w:rPr>
        <w:t>the exposure value of a loan commitment given, a financial guarantee given or any other commitment given as referred to in paragraph</w:t>
      </w:r>
      <w:r w:rsidRPr="003101B1">
        <w:rPr>
          <w:lang w:val="en-GB" w:eastAsia="ro-MD"/>
        </w:rPr>
        <w:t xml:space="preserve"> 67</w:t>
      </w:r>
      <w:r w:rsidRPr="003101B1">
        <w:rPr>
          <w:vertAlign w:val="superscript"/>
          <w:lang w:val="en-GB" w:eastAsia="ro-MD"/>
        </w:rPr>
        <w:t>1</w:t>
      </w:r>
      <w:r w:rsidRPr="003101B1">
        <w:rPr>
          <w:lang w:val="en-GB" w:eastAsia="ro-MD"/>
        </w:rPr>
        <w:t xml:space="preserve"> sub</w:t>
      </w:r>
      <w:r w:rsidR="00794FB2" w:rsidRPr="003101B1">
        <w:rPr>
          <w:lang w:val="en-GB" w:eastAsia="ro-MD"/>
        </w:rPr>
        <w:t>-</w:t>
      </w:r>
      <w:r w:rsidRPr="003101B1">
        <w:rPr>
          <w:lang w:val="en-GB" w:eastAsia="ro-MD"/>
        </w:rPr>
        <w:t>p</w:t>
      </w:r>
      <w:r w:rsidR="00794FB2" w:rsidRPr="003101B1">
        <w:rPr>
          <w:lang w:val="en-GB" w:eastAsia="ro-MD"/>
        </w:rPr>
        <w:t>aragraph</w:t>
      </w:r>
      <w:r w:rsidRPr="003101B1">
        <w:rPr>
          <w:lang w:val="en-GB" w:eastAsia="ro-MD"/>
        </w:rPr>
        <w:t xml:space="preserve"> 2) </w:t>
      </w:r>
      <w:r w:rsidR="00794FB2" w:rsidRPr="003101B1">
        <w:rPr>
          <w:lang w:val="en-GB" w:eastAsia="ro-MD"/>
        </w:rPr>
        <w:t>shall be its nominal value</w:t>
      </w:r>
      <w:r w:rsidRPr="003101B1">
        <w:rPr>
          <w:lang w:val="en-GB" w:eastAsia="ro-MD"/>
        </w:rPr>
        <w:t xml:space="preserve">, </w:t>
      </w:r>
      <w:r w:rsidR="0067155D" w:rsidRPr="003101B1">
        <w:rPr>
          <w:lang w:val="en-GB" w:eastAsia="ro-MD"/>
        </w:rPr>
        <w:t>which shall represent the bank's maximum exposure to credit risk</w:t>
      </w:r>
      <w:r w:rsidRPr="003101B1">
        <w:rPr>
          <w:lang w:val="en-GB" w:eastAsia="ro-MD"/>
        </w:rPr>
        <w:t xml:space="preserve"> </w:t>
      </w:r>
      <w:r w:rsidR="0067155D" w:rsidRPr="003101B1">
        <w:rPr>
          <w:lang w:val="en-GB" w:eastAsia="ro-MD"/>
        </w:rPr>
        <w:t>without taking account of any funded or unfunded credit protection</w:t>
      </w:r>
      <w:r w:rsidRPr="003101B1">
        <w:rPr>
          <w:lang w:val="en-GB" w:eastAsia="ro-MD"/>
        </w:rPr>
        <w:t xml:space="preserve">. </w:t>
      </w:r>
      <w:r w:rsidR="0067155D" w:rsidRPr="003101B1">
        <w:rPr>
          <w:lang w:val="en-GB" w:eastAsia="ro-MD"/>
        </w:rPr>
        <w:t>The nominal value of a loan commitment given shall be the undrawn amount that the</w:t>
      </w:r>
      <w:r w:rsidRPr="003101B1">
        <w:rPr>
          <w:lang w:val="en-GB" w:eastAsia="ro-MD"/>
        </w:rPr>
        <w:t xml:space="preserve"> ban</w:t>
      </w:r>
      <w:r w:rsidR="0067155D" w:rsidRPr="003101B1">
        <w:rPr>
          <w:lang w:val="en-GB" w:eastAsia="ro-MD"/>
        </w:rPr>
        <w:t>k</w:t>
      </w:r>
      <w:r w:rsidRPr="003101B1">
        <w:rPr>
          <w:lang w:val="en-GB" w:eastAsia="ro-MD"/>
        </w:rPr>
        <w:t xml:space="preserve"> </w:t>
      </w:r>
      <w:r w:rsidR="0067155D" w:rsidRPr="003101B1">
        <w:rPr>
          <w:lang w:val="en-GB" w:eastAsia="ro-MD"/>
        </w:rPr>
        <w:t>has committed to lend and the nominal value of a financial guarantee given shall be the maximum amount the entity could have to pay if the guarantee is called on</w:t>
      </w:r>
      <w:r w:rsidRPr="003101B1">
        <w:rPr>
          <w:lang w:val="en-GB" w:eastAsia="ro-MD"/>
        </w:rPr>
        <w:t>.</w:t>
      </w:r>
    </w:p>
    <w:p w14:paraId="7740B66E" w14:textId="0944857B"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5</w:t>
      </w:r>
      <w:r w:rsidRPr="003101B1">
        <w:rPr>
          <w:b/>
          <w:bCs/>
          <w:lang w:val="en-GB" w:eastAsia="ro-MD"/>
        </w:rPr>
        <w:t>.</w:t>
      </w:r>
      <w:r w:rsidRPr="003101B1">
        <w:rPr>
          <w:lang w:val="en-GB" w:eastAsia="ro-MD"/>
        </w:rPr>
        <w:t xml:space="preserve"> </w:t>
      </w:r>
      <w:r w:rsidR="0067155D" w:rsidRPr="003101B1">
        <w:rPr>
          <w:lang w:val="en-GB" w:eastAsia="ro-MD"/>
        </w:rPr>
        <w:t xml:space="preserve">The nominal value referred to in paragraph </w:t>
      </w:r>
      <w:r w:rsidRPr="003101B1">
        <w:rPr>
          <w:lang w:val="en-GB" w:eastAsia="ro-MD"/>
        </w:rPr>
        <w:t>67</w:t>
      </w:r>
      <w:r w:rsidRPr="003101B1">
        <w:rPr>
          <w:vertAlign w:val="superscript"/>
          <w:lang w:val="en-GB" w:eastAsia="ro-MD"/>
        </w:rPr>
        <w:t>4</w:t>
      </w:r>
      <w:r w:rsidRPr="003101B1">
        <w:rPr>
          <w:lang w:val="en-GB" w:eastAsia="ro-MD"/>
        </w:rPr>
        <w:t xml:space="preserve"> </w:t>
      </w:r>
      <w:r w:rsidR="0067155D" w:rsidRPr="003101B1">
        <w:rPr>
          <w:lang w:val="en-GB" w:eastAsia="ro-MD"/>
        </w:rPr>
        <w:t>shall not take into account any specific credit risk adjustment, additional value adjustments in accordance with paragraph</w:t>
      </w:r>
      <w:r w:rsidRPr="003101B1">
        <w:rPr>
          <w:lang w:val="en-GB" w:eastAsia="ro-MD"/>
        </w:rPr>
        <w:t xml:space="preserve"> 28 sub</w:t>
      </w:r>
      <w:r w:rsidR="0067155D" w:rsidRPr="003101B1">
        <w:rPr>
          <w:lang w:val="en-GB" w:eastAsia="ro-MD"/>
        </w:rPr>
        <w:t>-paragraph</w:t>
      </w:r>
      <w:r w:rsidRPr="003101B1">
        <w:rPr>
          <w:lang w:val="en-GB" w:eastAsia="ro-MD"/>
        </w:rPr>
        <w:t xml:space="preserve"> 1</w:t>
      </w:r>
      <w:r w:rsidR="00633075" w:rsidRPr="003101B1">
        <w:rPr>
          <w:lang w:val="en-GB" w:eastAsia="ro-MD"/>
        </w:rPr>
        <w:t>)</w:t>
      </w:r>
      <w:r w:rsidRPr="003101B1">
        <w:rPr>
          <w:lang w:val="en-GB" w:eastAsia="ro-MD"/>
        </w:rPr>
        <w:t xml:space="preserve"> </w:t>
      </w:r>
      <w:r w:rsidR="0067155D" w:rsidRPr="003101B1">
        <w:rPr>
          <w:lang w:val="en-GB" w:eastAsia="ro-MD"/>
        </w:rPr>
        <w:t>and</w:t>
      </w:r>
      <w:r w:rsidRPr="003101B1">
        <w:rPr>
          <w:lang w:val="en-GB" w:eastAsia="ro-MD"/>
        </w:rPr>
        <w:t xml:space="preserve"> </w:t>
      </w:r>
      <w:r w:rsidR="0067155D" w:rsidRPr="003101B1">
        <w:rPr>
          <w:lang w:val="en-GB" w:eastAsia="ro-MD"/>
        </w:rPr>
        <w:t xml:space="preserve">amounts deducted in accordance with paragraph </w:t>
      </w:r>
      <w:r w:rsidRPr="003101B1">
        <w:rPr>
          <w:lang w:val="en-GB" w:eastAsia="ro-MD"/>
        </w:rPr>
        <w:t>30 sub</w:t>
      </w:r>
      <w:r w:rsidR="0067155D" w:rsidRPr="003101B1">
        <w:rPr>
          <w:lang w:val="en-GB" w:eastAsia="ro-MD"/>
        </w:rPr>
        <w:t>-paragraph</w:t>
      </w:r>
      <w:r w:rsidRPr="003101B1">
        <w:rPr>
          <w:lang w:val="en-GB" w:eastAsia="ro-MD"/>
        </w:rPr>
        <w:t xml:space="preserve"> 12) </w:t>
      </w:r>
      <w:r w:rsidR="0067155D" w:rsidRPr="003101B1">
        <w:rPr>
          <w:lang w:val="en-GB" w:eastAsia="ro-MD"/>
        </w:rPr>
        <w:t>or other own funds reductions related to the exposure</w:t>
      </w:r>
      <w:r w:rsidRPr="003101B1">
        <w:rPr>
          <w:lang w:val="en-GB" w:eastAsia="ro-MD"/>
        </w:rPr>
        <w:t>.</w:t>
      </w:r>
    </w:p>
    <w:p w14:paraId="08A38869" w14:textId="2F09F2F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6</w:t>
      </w:r>
      <w:r w:rsidRPr="003101B1">
        <w:rPr>
          <w:b/>
          <w:bCs/>
          <w:lang w:val="en-GB" w:eastAsia="ro-MD"/>
        </w:rPr>
        <w:t xml:space="preserve">. </w:t>
      </w:r>
      <w:r w:rsidR="00EF468E" w:rsidRPr="003101B1">
        <w:rPr>
          <w:lang w:val="en-GB" w:eastAsia="ro-MD"/>
        </w:rPr>
        <w:t xml:space="preserve">For the purposes of paragraph </w:t>
      </w:r>
      <w:r w:rsidRPr="003101B1">
        <w:rPr>
          <w:lang w:val="en-GB" w:eastAsia="ro-MD"/>
        </w:rPr>
        <w:t xml:space="preserve">30 </w:t>
      </w:r>
      <w:r w:rsidR="00EF468E" w:rsidRPr="003101B1">
        <w:rPr>
          <w:lang w:val="en-GB" w:eastAsia="ro-MD"/>
        </w:rPr>
        <w:t>sub-paragraph</w:t>
      </w:r>
      <w:r w:rsidRPr="003101B1">
        <w:rPr>
          <w:lang w:val="en-GB" w:eastAsia="ro-MD"/>
        </w:rPr>
        <w:t xml:space="preserve"> 12), </w:t>
      </w:r>
      <w:r w:rsidR="00EF468E" w:rsidRPr="003101B1">
        <w:rPr>
          <w:lang w:val="en-GB" w:eastAsia="ro-MD"/>
        </w:rPr>
        <w:t>the following exposures shall be classified as non-performing</w:t>
      </w:r>
      <w:r w:rsidRPr="003101B1">
        <w:rPr>
          <w:lang w:val="en-GB" w:eastAsia="ro-MD"/>
        </w:rPr>
        <w:t>:</w:t>
      </w:r>
    </w:p>
    <w:p w14:paraId="04B4CDBC" w14:textId="7938220A" w:rsidR="00EB61FA" w:rsidRPr="003101B1" w:rsidRDefault="00EB61FA" w:rsidP="0016632B">
      <w:pPr>
        <w:jc w:val="both"/>
        <w:rPr>
          <w:lang w:val="en-GB" w:eastAsia="ro-MD"/>
        </w:rPr>
      </w:pPr>
      <w:r w:rsidRPr="003101B1">
        <w:rPr>
          <w:lang w:val="en-GB" w:eastAsia="ro-MD"/>
        </w:rPr>
        <w:t xml:space="preserve">1) </w:t>
      </w:r>
      <w:r w:rsidR="00EF468E" w:rsidRPr="003101B1">
        <w:rPr>
          <w:lang w:val="en-GB" w:eastAsia="ro-MD"/>
        </w:rPr>
        <w:t>an exposure in respect of which a default is considered to have occurred in accordance with S</w:t>
      </w:r>
      <w:r w:rsidRPr="003101B1">
        <w:rPr>
          <w:lang w:val="en-GB" w:eastAsia="ro-MD"/>
        </w:rPr>
        <w:t>ec</w:t>
      </w:r>
      <w:r w:rsidR="00EF468E" w:rsidRPr="003101B1">
        <w:rPr>
          <w:lang w:val="en-GB" w:eastAsia="ro-MD"/>
        </w:rPr>
        <w:t>t</w:t>
      </w:r>
      <w:r w:rsidRPr="003101B1">
        <w:rPr>
          <w:lang w:val="en-GB" w:eastAsia="ro-MD"/>
        </w:rPr>
        <w:t>i</w:t>
      </w:r>
      <w:r w:rsidR="00EF468E" w:rsidRPr="003101B1">
        <w:rPr>
          <w:lang w:val="en-GB" w:eastAsia="ro-MD"/>
        </w:rPr>
        <w:t>o</w:t>
      </w:r>
      <w:r w:rsidRPr="003101B1">
        <w:rPr>
          <w:lang w:val="en-GB" w:eastAsia="ro-MD"/>
        </w:rPr>
        <w:t>n</w:t>
      </w:r>
      <w:r w:rsidR="00EF468E" w:rsidRPr="003101B1">
        <w:rPr>
          <w:lang w:val="en-GB" w:eastAsia="ro-MD"/>
        </w:rPr>
        <w:t xml:space="preserve"> </w:t>
      </w:r>
      <w:r w:rsidRPr="003101B1">
        <w:rPr>
          <w:lang w:val="en-GB" w:eastAsia="ro-MD"/>
        </w:rPr>
        <w:t xml:space="preserve">3, </w:t>
      </w:r>
      <w:r w:rsidR="00EF468E" w:rsidRPr="003101B1">
        <w:rPr>
          <w:lang w:val="en-GB" w:eastAsia="ro-MD"/>
        </w:rPr>
        <w:t>Chapter</w:t>
      </w:r>
      <w:r w:rsidRPr="003101B1">
        <w:rPr>
          <w:lang w:val="en-GB" w:eastAsia="ro-MD"/>
        </w:rPr>
        <w:t xml:space="preserve"> III </w:t>
      </w:r>
      <w:r w:rsidR="00EF468E" w:rsidRPr="003101B1">
        <w:rPr>
          <w:lang w:val="en-GB" w:eastAsia="ro-MD"/>
        </w:rPr>
        <w:t>of</w:t>
      </w:r>
      <w:r w:rsidRPr="003101B1">
        <w:rPr>
          <w:lang w:val="en-GB" w:eastAsia="ro-MD"/>
        </w:rPr>
        <w:t xml:space="preserve"> Regula</w:t>
      </w:r>
      <w:r w:rsidR="00EF468E" w:rsidRPr="003101B1">
        <w:rPr>
          <w:lang w:val="en-GB" w:eastAsia="ro-MD"/>
        </w:rPr>
        <w:t xml:space="preserve">tion </w:t>
      </w:r>
      <w:r w:rsidRPr="003101B1">
        <w:rPr>
          <w:lang w:val="en-GB" w:eastAsia="ro-MD"/>
        </w:rPr>
        <w:t>111/2018;</w:t>
      </w:r>
    </w:p>
    <w:p w14:paraId="27455182" w14:textId="4BD5AD56" w:rsidR="00EB61FA" w:rsidRPr="003101B1" w:rsidRDefault="00EB61FA" w:rsidP="0016632B">
      <w:pPr>
        <w:jc w:val="both"/>
        <w:rPr>
          <w:lang w:val="en-GB" w:eastAsia="ro-MD"/>
        </w:rPr>
      </w:pPr>
      <w:r w:rsidRPr="003101B1">
        <w:rPr>
          <w:lang w:val="en-GB" w:eastAsia="ro-MD"/>
        </w:rPr>
        <w:t xml:space="preserve">2) </w:t>
      </w:r>
      <w:r w:rsidR="000801EC" w:rsidRPr="003101B1">
        <w:rPr>
          <w:lang w:val="en-GB" w:eastAsia="ro-MD"/>
        </w:rPr>
        <w:t>an exposure which is considered to be impaired in accordance with the accounting framework</w:t>
      </w:r>
      <w:r w:rsidRPr="003101B1">
        <w:rPr>
          <w:lang w:val="en-GB" w:eastAsia="ro-MD"/>
        </w:rPr>
        <w:t>;</w:t>
      </w:r>
    </w:p>
    <w:p w14:paraId="2954A226" w14:textId="0BEAFF88" w:rsidR="00EB61FA" w:rsidRPr="003101B1" w:rsidRDefault="00EB61FA" w:rsidP="0016632B">
      <w:pPr>
        <w:jc w:val="both"/>
        <w:rPr>
          <w:lang w:val="en-GB" w:eastAsia="ro-MD"/>
        </w:rPr>
      </w:pPr>
      <w:r w:rsidRPr="003101B1">
        <w:rPr>
          <w:lang w:val="en-GB" w:eastAsia="ro-MD"/>
        </w:rPr>
        <w:t xml:space="preserve">3) </w:t>
      </w:r>
      <w:r w:rsidR="000801EC" w:rsidRPr="003101B1">
        <w:rPr>
          <w:lang w:val="en-GB" w:eastAsia="ro-MD"/>
        </w:rPr>
        <w:t xml:space="preserve">an exposure under probation pursuant to paragraph </w:t>
      </w:r>
      <w:r w:rsidRPr="003101B1">
        <w:rPr>
          <w:lang w:val="en-GB" w:eastAsia="ro-MD"/>
        </w:rPr>
        <w:t>67</w:t>
      </w:r>
      <w:r w:rsidRPr="003101B1">
        <w:rPr>
          <w:vertAlign w:val="superscript"/>
          <w:lang w:val="en-GB" w:eastAsia="ro-MD"/>
        </w:rPr>
        <w:t>12</w:t>
      </w:r>
      <w:r w:rsidRPr="003101B1">
        <w:rPr>
          <w:lang w:val="en-GB" w:eastAsia="ro-MD"/>
        </w:rPr>
        <w:t xml:space="preserve">, </w:t>
      </w:r>
      <w:r w:rsidR="000801EC" w:rsidRPr="003101B1">
        <w:rPr>
          <w:lang w:val="en-GB" w:eastAsia="ro-MD"/>
        </w:rPr>
        <w:t>where additional forbearance measures are granted or where the exposure becomes more than 30 days past due</w:t>
      </w:r>
      <w:r w:rsidRPr="003101B1">
        <w:rPr>
          <w:lang w:val="en-GB" w:eastAsia="ro-MD"/>
        </w:rPr>
        <w:t>;</w:t>
      </w:r>
    </w:p>
    <w:p w14:paraId="2EDD4EF1" w14:textId="6A7E8D62" w:rsidR="00EB61FA" w:rsidRPr="003101B1" w:rsidRDefault="00EB61FA" w:rsidP="0016632B">
      <w:pPr>
        <w:jc w:val="both"/>
        <w:rPr>
          <w:lang w:val="en-GB" w:eastAsia="ro-MD"/>
        </w:rPr>
      </w:pPr>
      <w:r w:rsidRPr="003101B1">
        <w:rPr>
          <w:lang w:val="en-GB" w:eastAsia="ro-MD"/>
        </w:rPr>
        <w:t xml:space="preserve">4) </w:t>
      </w:r>
      <w:r w:rsidR="000801EC" w:rsidRPr="003101B1">
        <w:rPr>
          <w:lang w:val="en-GB" w:eastAsia="ro-MD"/>
        </w:rPr>
        <w:t>an exposure in the form of a commitment that, were it drawn down or otherwise used, would likely not be paid back in full without realisation of collateral</w:t>
      </w:r>
      <w:r w:rsidRPr="003101B1">
        <w:rPr>
          <w:lang w:val="en-GB" w:eastAsia="ro-MD"/>
        </w:rPr>
        <w:t>;</w:t>
      </w:r>
    </w:p>
    <w:p w14:paraId="7B2A43CC" w14:textId="76E2E8AA" w:rsidR="00EB61FA" w:rsidRPr="003101B1" w:rsidRDefault="00EB61FA" w:rsidP="0016632B">
      <w:pPr>
        <w:jc w:val="both"/>
        <w:rPr>
          <w:lang w:val="en-GB" w:eastAsia="ro-MD"/>
        </w:rPr>
      </w:pPr>
      <w:r w:rsidRPr="003101B1">
        <w:rPr>
          <w:lang w:val="en-GB" w:eastAsia="ro-MD"/>
        </w:rPr>
        <w:t xml:space="preserve">5) </w:t>
      </w:r>
      <w:r w:rsidR="000801EC" w:rsidRPr="003101B1">
        <w:rPr>
          <w:lang w:val="en-GB" w:eastAsia="ro-MD"/>
        </w:rPr>
        <w:t>an exposure in form of a financial guarantee that is likely to be called by the guaranteed party, including where the underlying guaranteed exposure meets the criteria to be considered as non-performing</w:t>
      </w:r>
      <w:r w:rsidRPr="003101B1">
        <w:rPr>
          <w:lang w:val="en-GB" w:eastAsia="ro-MD"/>
        </w:rPr>
        <w:t>.</w:t>
      </w:r>
    </w:p>
    <w:p w14:paraId="1F77D78E" w14:textId="769C58C2"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7</w:t>
      </w:r>
      <w:r w:rsidRPr="003101B1">
        <w:rPr>
          <w:b/>
          <w:bCs/>
          <w:lang w:val="en-GB" w:eastAsia="ro-MD"/>
        </w:rPr>
        <w:t xml:space="preserve">. </w:t>
      </w:r>
      <w:r w:rsidR="000801EC" w:rsidRPr="003101B1">
        <w:rPr>
          <w:lang w:val="en-GB" w:eastAsia="ro-MD"/>
        </w:rPr>
        <w:t>For the purposes of paragraph</w:t>
      </w:r>
      <w:r w:rsidRPr="003101B1">
        <w:rPr>
          <w:lang w:val="en-GB" w:eastAsia="ro-MD"/>
        </w:rPr>
        <w:t xml:space="preserve"> 67</w:t>
      </w:r>
      <w:r w:rsidRPr="003101B1">
        <w:rPr>
          <w:vertAlign w:val="superscript"/>
          <w:lang w:val="en-GB" w:eastAsia="ro-MD"/>
        </w:rPr>
        <w:t>6</w:t>
      </w:r>
      <w:r w:rsidRPr="003101B1">
        <w:rPr>
          <w:lang w:val="en-GB" w:eastAsia="ro-MD"/>
        </w:rPr>
        <w:t xml:space="preserve"> sub</w:t>
      </w:r>
      <w:r w:rsidR="000801EC" w:rsidRPr="003101B1">
        <w:rPr>
          <w:lang w:val="en-GB" w:eastAsia="ro-MD"/>
        </w:rPr>
        <w:t>-paragraph</w:t>
      </w:r>
      <w:r w:rsidRPr="003101B1">
        <w:rPr>
          <w:lang w:val="en-GB" w:eastAsia="ro-MD"/>
        </w:rPr>
        <w:t xml:space="preserve"> 1), </w:t>
      </w:r>
      <w:r w:rsidR="00D73965" w:rsidRPr="003101B1">
        <w:rPr>
          <w:lang w:val="en-GB" w:eastAsia="ro-MD"/>
        </w:rPr>
        <w:t>where a</w:t>
      </w:r>
      <w:r w:rsidRPr="003101B1">
        <w:rPr>
          <w:lang w:val="en-GB" w:eastAsia="ro-MD"/>
        </w:rPr>
        <w:t xml:space="preserve"> ba</w:t>
      </w:r>
      <w:r w:rsidR="00D73965" w:rsidRPr="003101B1">
        <w:rPr>
          <w:lang w:val="en-GB" w:eastAsia="ro-MD"/>
        </w:rPr>
        <w:t>nk</w:t>
      </w:r>
      <w:r w:rsidRPr="003101B1">
        <w:rPr>
          <w:lang w:val="en-GB" w:eastAsia="ro-MD"/>
        </w:rPr>
        <w:t xml:space="preserve"> </w:t>
      </w:r>
      <w:r w:rsidR="00D73965" w:rsidRPr="003101B1">
        <w:rPr>
          <w:lang w:val="en-GB" w:eastAsia="ro-MD"/>
        </w:rPr>
        <w:t>has on-balance-sheet exposures to an obligor that are past due by more than 90 days</w:t>
      </w:r>
      <w:r w:rsidRPr="003101B1">
        <w:rPr>
          <w:lang w:val="en-GB" w:eastAsia="ro-MD"/>
        </w:rPr>
        <w:t xml:space="preserve"> </w:t>
      </w:r>
      <w:r w:rsidR="00D73965" w:rsidRPr="003101B1">
        <w:rPr>
          <w:lang w:val="en-GB" w:eastAsia="ro-MD"/>
        </w:rPr>
        <w:t>and that represent more than 20 % of all on-balance-sheet exposures to that obligor</w:t>
      </w:r>
      <w:r w:rsidRPr="003101B1">
        <w:rPr>
          <w:lang w:val="en-GB" w:eastAsia="ro-MD"/>
        </w:rPr>
        <w:t xml:space="preserve">, </w:t>
      </w:r>
      <w:r w:rsidR="00D73965" w:rsidRPr="003101B1">
        <w:rPr>
          <w:lang w:val="en-GB" w:eastAsia="ro-MD"/>
        </w:rPr>
        <w:t>all on- and off-balance-sheet exposures to that obligor shall be considered to be non-performing</w:t>
      </w:r>
      <w:r w:rsidRPr="003101B1">
        <w:rPr>
          <w:lang w:val="en-GB" w:eastAsia="ro-MD"/>
        </w:rPr>
        <w:t>.</w:t>
      </w:r>
    </w:p>
    <w:p w14:paraId="53953289" w14:textId="33484192"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8</w:t>
      </w:r>
      <w:r w:rsidRPr="003101B1">
        <w:rPr>
          <w:b/>
          <w:bCs/>
          <w:lang w:val="en-GB" w:eastAsia="ro-MD"/>
        </w:rPr>
        <w:t>.</w:t>
      </w:r>
      <w:r w:rsidRPr="003101B1">
        <w:rPr>
          <w:lang w:val="en-GB" w:eastAsia="ro-MD"/>
        </w:rPr>
        <w:t xml:space="preserve"> </w:t>
      </w:r>
      <w:r w:rsidR="00D73965" w:rsidRPr="003101B1">
        <w:rPr>
          <w:lang w:val="en-GB" w:eastAsia="ro-MD"/>
        </w:rPr>
        <w:t xml:space="preserve">Exposures that have not been subject to a forbearance measure shall cease to be classified as non-performing for the purposes of paragraph </w:t>
      </w:r>
      <w:r w:rsidRPr="003101B1">
        <w:rPr>
          <w:lang w:val="en-GB" w:eastAsia="ro-MD"/>
        </w:rPr>
        <w:t>67</w:t>
      </w:r>
      <w:r w:rsidRPr="003101B1">
        <w:rPr>
          <w:vertAlign w:val="superscript"/>
          <w:lang w:val="en-GB" w:eastAsia="ro-MD"/>
        </w:rPr>
        <w:t>6</w:t>
      </w:r>
      <w:r w:rsidRPr="003101B1">
        <w:rPr>
          <w:lang w:val="en-GB" w:eastAsia="ro-MD"/>
        </w:rPr>
        <w:t xml:space="preserve"> sub</w:t>
      </w:r>
      <w:r w:rsidR="00D73965" w:rsidRPr="003101B1">
        <w:rPr>
          <w:lang w:val="en-GB" w:eastAsia="ro-MD"/>
        </w:rPr>
        <w:t>-paragraph</w:t>
      </w:r>
      <w:r w:rsidRPr="003101B1">
        <w:rPr>
          <w:lang w:val="en-GB" w:eastAsia="ro-MD"/>
        </w:rPr>
        <w:t xml:space="preserve"> 1</w:t>
      </w:r>
      <w:r w:rsidR="00D73965" w:rsidRPr="003101B1">
        <w:rPr>
          <w:rFonts w:ascii="Arial Unicode MS" w:eastAsia="Arial Unicode MS" w:hAnsi="Arial Unicode MS" w:cs="Arial Unicode MS"/>
          <w:color w:val="333333"/>
          <w:sz w:val="21"/>
          <w:szCs w:val="21"/>
          <w:shd w:val="clear" w:color="auto" w:fill="FFFFFF"/>
          <w:lang w:val="en-GB"/>
        </w:rPr>
        <w:t xml:space="preserve"> </w:t>
      </w:r>
      <w:r w:rsidR="00D73965" w:rsidRPr="003101B1">
        <w:rPr>
          <w:lang w:val="en-GB" w:eastAsia="ro-MD"/>
        </w:rPr>
        <w:t>where all the following conditions are met</w:t>
      </w:r>
      <w:r w:rsidRPr="003101B1">
        <w:rPr>
          <w:lang w:val="en-GB" w:eastAsia="ro-MD"/>
        </w:rPr>
        <w:t>:</w:t>
      </w:r>
    </w:p>
    <w:p w14:paraId="1DC08458" w14:textId="40255EC6" w:rsidR="00EB61FA" w:rsidRPr="003101B1" w:rsidRDefault="00EB61FA" w:rsidP="0016632B">
      <w:pPr>
        <w:jc w:val="both"/>
        <w:rPr>
          <w:lang w:val="en-GB" w:eastAsia="ro-MD"/>
        </w:rPr>
      </w:pPr>
      <w:r w:rsidRPr="003101B1">
        <w:rPr>
          <w:lang w:val="en-GB" w:eastAsia="ro-MD"/>
        </w:rPr>
        <w:t xml:space="preserve">1) </w:t>
      </w:r>
      <w:r w:rsidR="00201D99" w:rsidRPr="003101B1">
        <w:rPr>
          <w:lang w:val="en-GB" w:eastAsia="ro-MD"/>
        </w:rPr>
        <w:t xml:space="preserve">the exposure meets the exit criteria applied by the </w:t>
      </w:r>
      <w:r w:rsidRPr="003101B1">
        <w:rPr>
          <w:lang w:val="en-GB" w:eastAsia="ro-MD"/>
        </w:rPr>
        <w:t>ban</w:t>
      </w:r>
      <w:r w:rsidR="00201D99" w:rsidRPr="003101B1">
        <w:rPr>
          <w:lang w:val="en-GB" w:eastAsia="ro-MD"/>
        </w:rPr>
        <w:t>k</w:t>
      </w:r>
      <w:r w:rsidRPr="003101B1">
        <w:rPr>
          <w:lang w:val="en-GB" w:eastAsia="ro-MD"/>
        </w:rPr>
        <w:t xml:space="preserve"> </w:t>
      </w:r>
      <w:r w:rsidR="00201D99" w:rsidRPr="003101B1">
        <w:rPr>
          <w:lang w:val="en-GB" w:eastAsia="ro-MD"/>
        </w:rPr>
        <w:t>for the discontinuation of the classification as impaired in accordance with the applicable accounting framework and of the classification as defaulted in accordance with Section</w:t>
      </w:r>
      <w:r w:rsidRPr="003101B1">
        <w:rPr>
          <w:lang w:val="en-GB" w:eastAsia="ro-MD"/>
        </w:rPr>
        <w:t xml:space="preserve"> 3, </w:t>
      </w:r>
      <w:r w:rsidR="00201D99" w:rsidRPr="003101B1">
        <w:rPr>
          <w:lang w:val="en-GB" w:eastAsia="ro-MD"/>
        </w:rPr>
        <w:t>Chapter</w:t>
      </w:r>
      <w:r w:rsidRPr="003101B1">
        <w:rPr>
          <w:lang w:val="en-GB" w:eastAsia="ro-MD"/>
        </w:rPr>
        <w:t xml:space="preserve"> III </w:t>
      </w:r>
      <w:r w:rsidR="00201D99" w:rsidRPr="003101B1">
        <w:rPr>
          <w:lang w:val="en-GB" w:eastAsia="ro-MD"/>
        </w:rPr>
        <w:t>of the</w:t>
      </w:r>
      <w:r w:rsidRPr="003101B1">
        <w:rPr>
          <w:lang w:val="en-GB" w:eastAsia="ro-MD"/>
        </w:rPr>
        <w:t xml:space="preserve"> Regula</w:t>
      </w:r>
      <w:r w:rsidR="00201D99" w:rsidRPr="003101B1">
        <w:rPr>
          <w:lang w:val="en-GB" w:eastAsia="ro-MD"/>
        </w:rPr>
        <w:t>tion</w:t>
      </w:r>
      <w:r w:rsidRPr="003101B1">
        <w:rPr>
          <w:lang w:val="en-GB" w:eastAsia="ro-MD"/>
        </w:rPr>
        <w:t xml:space="preserve"> 111/2018;</w:t>
      </w:r>
    </w:p>
    <w:p w14:paraId="7DA1DDE3" w14:textId="5EE28655" w:rsidR="00EB61FA" w:rsidRPr="003101B1" w:rsidRDefault="00EB61FA" w:rsidP="0016632B">
      <w:pPr>
        <w:jc w:val="both"/>
        <w:rPr>
          <w:lang w:val="en-GB" w:eastAsia="ro-MD"/>
        </w:rPr>
      </w:pPr>
      <w:r w:rsidRPr="003101B1">
        <w:rPr>
          <w:lang w:val="en-GB" w:eastAsia="ro-MD"/>
        </w:rPr>
        <w:t xml:space="preserve">2) </w:t>
      </w:r>
      <w:r w:rsidR="00D73965" w:rsidRPr="003101B1">
        <w:rPr>
          <w:lang w:val="en-GB" w:eastAsia="ro-MD"/>
        </w:rPr>
        <w:t>the situation of the obligor has improved to the extent that the bank is satisfied that full and timely repayment is likely to be made</w:t>
      </w:r>
      <w:r w:rsidRPr="003101B1">
        <w:rPr>
          <w:lang w:val="en-GB" w:eastAsia="ro-MD"/>
        </w:rPr>
        <w:t>;</w:t>
      </w:r>
    </w:p>
    <w:p w14:paraId="45CA36F7" w14:textId="0C5399E5" w:rsidR="00EB61FA" w:rsidRPr="003101B1" w:rsidRDefault="00EB61FA" w:rsidP="0016632B">
      <w:pPr>
        <w:jc w:val="both"/>
        <w:rPr>
          <w:lang w:val="en-GB" w:eastAsia="ro-MD"/>
        </w:rPr>
      </w:pPr>
      <w:r w:rsidRPr="003101B1">
        <w:rPr>
          <w:lang w:val="en-GB" w:eastAsia="ro-MD"/>
        </w:rPr>
        <w:t xml:space="preserve">3) </w:t>
      </w:r>
      <w:r w:rsidR="00D73965" w:rsidRPr="003101B1">
        <w:rPr>
          <w:lang w:val="en-GB" w:eastAsia="ro-MD"/>
        </w:rPr>
        <w:t>he obligor does not have any amount past due by more than 90 days</w:t>
      </w:r>
      <w:r w:rsidRPr="003101B1">
        <w:rPr>
          <w:lang w:val="en-GB" w:eastAsia="ro-MD"/>
        </w:rPr>
        <w:t>.</w:t>
      </w:r>
    </w:p>
    <w:p w14:paraId="79AB71FA" w14:textId="309B99A2"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9</w:t>
      </w:r>
      <w:r w:rsidRPr="003101B1">
        <w:rPr>
          <w:b/>
          <w:bCs/>
          <w:lang w:val="en-GB" w:eastAsia="ro-MD"/>
        </w:rPr>
        <w:t xml:space="preserve">. </w:t>
      </w:r>
      <w:r w:rsidR="00201D99" w:rsidRPr="003101B1">
        <w:rPr>
          <w:lang w:val="en-GB" w:eastAsia="ro-MD"/>
        </w:rPr>
        <w:t xml:space="preserve">The classification of a non-performing exposure as non-current asset held for sale in accordance with the applicable accounting framework shall not discontinue its classification as non-performing exposure for the purposes </w:t>
      </w:r>
      <w:r w:rsidR="005571A8" w:rsidRPr="003101B1">
        <w:rPr>
          <w:lang w:val="en-GB" w:eastAsia="ro-MD"/>
        </w:rPr>
        <w:t>of paragraph</w:t>
      </w:r>
      <w:r w:rsidR="00201D99" w:rsidRPr="003101B1">
        <w:rPr>
          <w:lang w:val="en-GB" w:eastAsia="ro-MD"/>
        </w:rPr>
        <w:t xml:space="preserve"> </w:t>
      </w:r>
      <w:r w:rsidRPr="003101B1">
        <w:rPr>
          <w:lang w:val="en-GB" w:eastAsia="ro-MD"/>
        </w:rPr>
        <w:t>30 sub</w:t>
      </w:r>
      <w:r w:rsidR="00201D99" w:rsidRPr="003101B1">
        <w:rPr>
          <w:lang w:val="en-GB" w:eastAsia="ro-MD"/>
        </w:rPr>
        <w:t>-</w:t>
      </w:r>
      <w:r w:rsidRPr="003101B1">
        <w:rPr>
          <w:lang w:val="en-GB" w:eastAsia="ro-MD"/>
        </w:rPr>
        <w:t>p</w:t>
      </w:r>
      <w:r w:rsidR="00201D99" w:rsidRPr="003101B1">
        <w:rPr>
          <w:lang w:val="en-GB" w:eastAsia="ro-MD"/>
        </w:rPr>
        <w:t xml:space="preserve">aragraph </w:t>
      </w:r>
      <w:r w:rsidRPr="003101B1">
        <w:rPr>
          <w:lang w:val="en-GB" w:eastAsia="ro-MD"/>
        </w:rPr>
        <w:t>12).</w:t>
      </w:r>
      <w:r w:rsidRPr="003101B1">
        <w:rPr>
          <w:sz w:val="18"/>
          <w:szCs w:val="18"/>
          <w:highlight w:val="lightGray"/>
          <w:lang w:val="en-GB" w:eastAsia="ro-MD"/>
        </w:rPr>
        <w:t xml:space="preserve"> </w:t>
      </w:r>
    </w:p>
    <w:p w14:paraId="41407244" w14:textId="190FBF4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10</w:t>
      </w:r>
      <w:r w:rsidRPr="003101B1">
        <w:rPr>
          <w:b/>
          <w:bCs/>
          <w:lang w:val="en-GB" w:eastAsia="ro-MD"/>
        </w:rPr>
        <w:t xml:space="preserve">. </w:t>
      </w:r>
      <w:r w:rsidR="005571A8" w:rsidRPr="003101B1">
        <w:rPr>
          <w:lang w:val="en-GB" w:eastAsia="ro-MD"/>
        </w:rPr>
        <w:t xml:space="preserve">Non-performing exposures subject to forbearance measures shall cease to be classified as non-performing for the purposes of paragraph </w:t>
      </w:r>
      <w:r w:rsidRPr="003101B1">
        <w:rPr>
          <w:lang w:val="en-GB" w:eastAsia="ro-MD"/>
        </w:rPr>
        <w:t xml:space="preserve">30 </w:t>
      </w:r>
      <w:r w:rsidR="005571A8" w:rsidRPr="003101B1">
        <w:rPr>
          <w:lang w:val="en-GB" w:eastAsia="ro-MD"/>
        </w:rPr>
        <w:t>sub-paragraph</w:t>
      </w:r>
      <w:r w:rsidRPr="003101B1">
        <w:rPr>
          <w:lang w:val="en-GB" w:eastAsia="ro-MD"/>
        </w:rPr>
        <w:t xml:space="preserve"> 12</w:t>
      </w:r>
      <w:r w:rsidR="00EE1538" w:rsidRPr="003101B1">
        <w:rPr>
          <w:lang w:val="en-GB" w:eastAsia="ro-MD"/>
        </w:rPr>
        <w:t>) where</w:t>
      </w:r>
      <w:r w:rsidR="005571A8" w:rsidRPr="003101B1">
        <w:rPr>
          <w:lang w:val="en-GB" w:eastAsia="ro-MD"/>
        </w:rPr>
        <w:t xml:space="preserve"> all the following conditions are met</w:t>
      </w:r>
      <w:r w:rsidRPr="003101B1">
        <w:rPr>
          <w:lang w:val="en-GB" w:eastAsia="ro-MD"/>
        </w:rPr>
        <w:t>:</w:t>
      </w:r>
    </w:p>
    <w:p w14:paraId="606C6AA6" w14:textId="7B437D9A" w:rsidR="00EB61FA" w:rsidRPr="003101B1" w:rsidRDefault="00EB61FA" w:rsidP="0016632B">
      <w:pPr>
        <w:jc w:val="both"/>
        <w:rPr>
          <w:lang w:val="en-GB" w:eastAsia="ro-MD"/>
        </w:rPr>
      </w:pPr>
      <w:r w:rsidRPr="003101B1">
        <w:rPr>
          <w:lang w:val="en-GB" w:eastAsia="ro-MD"/>
        </w:rPr>
        <w:t xml:space="preserve">1) </w:t>
      </w:r>
      <w:r w:rsidR="005571A8" w:rsidRPr="003101B1">
        <w:rPr>
          <w:lang w:val="en-GB" w:eastAsia="ro-MD"/>
        </w:rPr>
        <w:t xml:space="preserve">the exposures have ceased to be in a situation that would lead to their classification as non-performing under paragraph </w:t>
      </w:r>
      <w:r w:rsidRPr="003101B1">
        <w:rPr>
          <w:lang w:val="en-GB" w:eastAsia="ro-MD"/>
        </w:rPr>
        <w:t>67</w:t>
      </w:r>
      <w:r w:rsidRPr="003101B1">
        <w:rPr>
          <w:vertAlign w:val="superscript"/>
          <w:lang w:val="en-GB" w:eastAsia="ro-MD"/>
        </w:rPr>
        <w:t>6</w:t>
      </w:r>
      <w:r w:rsidRPr="003101B1">
        <w:rPr>
          <w:lang w:val="en-GB" w:eastAsia="ro-MD"/>
        </w:rPr>
        <w:t>;</w:t>
      </w:r>
    </w:p>
    <w:p w14:paraId="3A445B3D" w14:textId="40C792A6" w:rsidR="00EB61FA" w:rsidRPr="003101B1" w:rsidRDefault="00EB61FA" w:rsidP="0016632B">
      <w:pPr>
        <w:jc w:val="both"/>
        <w:rPr>
          <w:lang w:val="en-GB" w:eastAsia="ro-MD"/>
        </w:rPr>
      </w:pPr>
      <w:r w:rsidRPr="003101B1">
        <w:rPr>
          <w:lang w:val="en-GB" w:eastAsia="ro-MD"/>
        </w:rPr>
        <w:t xml:space="preserve">2) </w:t>
      </w:r>
      <w:r w:rsidR="00EE1538" w:rsidRPr="003101B1">
        <w:rPr>
          <w:lang w:val="en-GB" w:eastAsia="ro-MD"/>
        </w:rPr>
        <w:t>at least one year has passed since the date on which the forbearance measures were granted and the date on which the exposures were classified as non-performing, whichever is later</w:t>
      </w:r>
      <w:r w:rsidRPr="003101B1">
        <w:rPr>
          <w:lang w:val="en-GB" w:eastAsia="ro-MD"/>
        </w:rPr>
        <w:t>;</w:t>
      </w:r>
    </w:p>
    <w:p w14:paraId="6B6D1371" w14:textId="17687D9B" w:rsidR="00EB61FA" w:rsidRPr="003101B1" w:rsidRDefault="00EB61FA" w:rsidP="0016632B">
      <w:pPr>
        <w:jc w:val="both"/>
        <w:rPr>
          <w:lang w:val="en-GB" w:eastAsia="ro-MD"/>
        </w:rPr>
      </w:pPr>
      <w:r w:rsidRPr="003101B1">
        <w:rPr>
          <w:lang w:val="en-GB" w:eastAsia="ro-MD"/>
        </w:rPr>
        <w:t xml:space="preserve">3) </w:t>
      </w:r>
      <w:r w:rsidR="00EE1538" w:rsidRPr="003101B1">
        <w:rPr>
          <w:lang w:val="en-GB" w:eastAsia="ro-MD"/>
        </w:rPr>
        <w:t>there is no past-due amount following the forbearance measures and the bank, on the basis of the analysis of the obligor's financial situation, is satisfied about the likelihood of the full and timely repayment of the exposure</w:t>
      </w:r>
      <w:r w:rsidRPr="003101B1">
        <w:rPr>
          <w:lang w:val="en-GB" w:eastAsia="ro-MD"/>
        </w:rPr>
        <w:t>.</w:t>
      </w:r>
    </w:p>
    <w:p w14:paraId="528FBF8D" w14:textId="708A9FF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11</w:t>
      </w:r>
      <w:r w:rsidRPr="003101B1">
        <w:rPr>
          <w:b/>
          <w:bCs/>
          <w:lang w:val="en-GB" w:eastAsia="ro-MD"/>
        </w:rPr>
        <w:t xml:space="preserve">. </w:t>
      </w:r>
      <w:r w:rsidR="00EE1538" w:rsidRPr="003101B1">
        <w:rPr>
          <w:lang w:val="en-GB" w:eastAsia="ro-MD"/>
        </w:rPr>
        <w:t>Full and timely repayment may be considered likely where the obligor has executed regular and timely payments of amounts equal to either of the following</w:t>
      </w:r>
      <w:r w:rsidRPr="003101B1">
        <w:rPr>
          <w:lang w:val="en-GB" w:eastAsia="ro-MD"/>
        </w:rPr>
        <w:t>:</w:t>
      </w:r>
    </w:p>
    <w:p w14:paraId="6FB45478" w14:textId="2FDBCF01" w:rsidR="00EB61FA" w:rsidRPr="003101B1" w:rsidRDefault="00EB61FA" w:rsidP="0016632B">
      <w:pPr>
        <w:jc w:val="both"/>
        <w:rPr>
          <w:lang w:val="en-GB" w:eastAsia="ro-MD"/>
        </w:rPr>
      </w:pPr>
      <w:r w:rsidRPr="003101B1">
        <w:rPr>
          <w:lang w:val="en-GB" w:eastAsia="ro-MD"/>
        </w:rPr>
        <w:t xml:space="preserve">1) </w:t>
      </w:r>
      <w:r w:rsidR="00D76A3F" w:rsidRPr="003101B1">
        <w:rPr>
          <w:lang w:val="en-GB" w:eastAsia="ro-MD"/>
        </w:rPr>
        <w:t>the amount that was past due before the forbearance measure was granted, where there were amounts past due</w:t>
      </w:r>
      <w:r w:rsidRPr="003101B1">
        <w:rPr>
          <w:lang w:val="en-GB" w:eastAsia="ro-MD"/>
        </w:rPr>
        <w:t>;</w:t>
      </w:r>
    </w:p>
    <w:p w14:paraId="74196E09" w14:textId="2EFBEF29" w:rsidR="00EB61FA" w:rsidRPr="003101B1" w:rsidRDefault="00EB61FA" w:rsidP="0016632B">
      <w:pPr>
        <w:jc w:val="both"/>
        <w:rPr>
          <w:lang w:val="en-GB" w:eastAsia="ro-MD"/>
        </w:rPr>
      </w:pPr>
      <w:r w:rsidRPr="003101B1">
        <w:rPr>
          <w:lang w:val="en-GB" w:eastAsia="ro-MD"/>
        </w:rPr>
        <w:t xml:space="preserve">2) </w:t>
      </w:r>
      <w:r w:rsidR="00D76A3F" w:rsidRPr="003101B1">
        <w:rPr>
          <w:lang w:val="en-GB" w:eastAsia="ro-MD"/>
        </w:rPr>
        <w:t>the amount that has been written-off under the forbearance measures granted, where there were no amounts past due</w:t>
      </w:r>
      <w:r w:rsidRPr="003101B1">
        <w:rPr>
          <w:lang w:val="en-GB" w:eastAsia="ro-MD"/>
        </w:rPr>
        <w:t>.</w:t>
      </w:r>
    </w:p>
    <w:p w14:paraId="0E9F4596" w14:textId="2BF93FC8"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12</w:t>
      </w:r>
      <w:r w:rsidRPr="003101B1">
        <w:rPr>
          <w:b/>
          <w:bCs/>
          <w:lang w:val="en-GB" w:eastAsia="ro-MD"/>
        </w:rPr>
        <w:t xml:space="preserve">. </w:t>
      </w:r>
      <w:r w:rsidR="00D76A3F" w:rsidRPr="003101B1">
        <w:rPr>
          <w:lang w:val="en-GB" w:eastAsia="ro-MD"/>
        </w:rPr>
        <w:t xml:space="preserve">Where a non-performing exposure has ceased to be classified as non-performing pursuant to paragraph </w:t>
      </w:r>
      <w:r w:rsidRPr="003101B1">
        <w:rPr>
          <w:lang w:val="en-GB" w:eastAsia="ro-MD"/>
        </w:rPr>
        <w:t>67</w:t>
      </w:r>
      <w:r w:rsidRPr="003101B1">
        <w:rPr>
          <w:vertAlign w:val="superscript"/>
          <w:lang w:val="en-GB" w:eastAsia="ro-MD"/>
        </w:rPr>
        <w:t>10</w:t>
      </w:r>
      <w:r w:rsidRPr="003101B1">
        <w:rPr>
          <w:lang w:val="en-GB" w:eastAsia="ro-MD"/>
        </w:rPr>
        <w:t xml:space="preserve">, </w:t>
      </w:r>
      <w:r w:rsidR="00D76A3F" w:rsidRPr="003101B1">
        <w:rPr>
          <w:lang w:val="en-GB" w:eastAsia="ro-MD"/>
        </w:rPr>
        <w:t>such exposure shall be under probation until all the following conditions are met</w:t>
      </w:r>
      <w:r w:rsidRPr="003101B1">
        <w:rPr>
          <w:lang w:val="en-GB" w:eastAsia="ro-MD"/>
        </w:rPr>
        <w:t>:</w:t>
      </w:r>
    </w:p>
    <w:p w14:paraId="0F3D37C7" w14:textId="6DD34742" w:rsidR="00EB61FA" w:rsidRPr="003101B1" w:rsidRDefault="00EB61FA" w:rsidP="0016632B">
      <w:pPr>
        <w:jc w:val="both"/>
        <w:rPr>
          <w:lang w:val="en-GB" w:eastAsia="ro-MD"/>
        </w:rPr>
      </w:pPr>
      <w:r w:rsidRPr="003101B1">
        <w:rPr>
          <w:lang w:val="en-GB" w:eastAsia="ro-MD"/>
        </w:rPr>
        <w:t xml:space="preserve">1) </w:t>
      </w:r>
      <w:r w:rsidR="00D76A3F" w:rsidRPr="003101B1">
        <w:rPr>
          <w:lang w:val="en-GB" w:eastAsia="ro-MD"/>
        </w:rPr>
        <w:t>at least two years have passed since the date on which the exposure subject to forbearance measures was re-classified as performing</w:t>
      </w:r>
      <w:r w:rsidRPr="003101B1">
        <w:rPr>
          <w:lang w:val="en-GB" w:eastAsia="ro-MD"/>
        </w:rPr>
        <w:t>;</w:t>
      </w:r>
    </w:p>
    <w:p w14:paraId="3A918E2E" w14:textId="71E3FD5B" w:rsidR="00EB61FA" w:rsidRPr="003101B1" w:rsidRDefault="00EB61FA" w:rsidP="0016632B">
      <w:pPr>
        <w:jc w:val="both"/>
        <w:rPr>
          <w:lang w:val="en-GB" w:eastAsia="ro-MD"/>
        </w:rPr>
      </w:pPr>
      <w:r w:rsidRPr="003101B1">
        <w:rPr>
          <w:lang w:val="en-GB" w:eastAsia="ro-MD"/>
        </w:rPr>
        <w:t xml:space="preserve">2) </w:t>
      </w:r>
      <w:r w:rsidR="00D76A3F" w:rsidRPr="003101B1">
        <w:rPr>
          <w:lang w:val="en-GB" w:eastAsia="ro-MD"/>
        </w:rPr>
        <w:t>regular and timely payments have been made during at least half of the period that the exposure would be under probation, leading to the payment of a substantial aggregate amount of principal or interest</w:t>
      </w:r>
      <w:r w:rsidRPr="003101B1">
        <w:rPr>
          <w:lang w:val="en-GB" w:eastAsia="ro-MD"/>
        </w:rPr>
        <w:t>;</w:t>
      </w:r>
    </w:p>
    <w:p w14:paraId="7D086016" w14:textId="43A71739" w:rsidR="00EB61FA" w:rsidRPr="003101B1" w:rsidRDefault="00EB61FA" w:rsidP="0016632B">
      <w:pPr>
        <w:jc w:val="both"/>
        <w:rPr>
          <w:lang w:val="en-GB" w:eastAsia="ro-MD"/>
        </w:rPr>
      </w:pPr>
      <w:r w:rsidRPr="003101B1">
        <w:rPr>
          <w:lang w:val="en-GB" w:eastAsia="ro-MD"/>
        </w:rPr>
        <w:t xml:space="preserve">3) </w:t>
      </w:r>
      <w:r w:rsidR="002B1DEF" w:rsidRPr="003101B1">
        <w:rPr>
          <w:lang w:val="en-GB" w:eastAsia="ro-MD"/>
        </w:rPr>
        <w:t>none of the exposures to the obligor is more than 30 days past due</w:t>
      </w:r>
      <w:r w:rsidRPr="003101B1">
        <w:rPr>
          <w:lang w:val="en-GB" w:eastAsia="ro-MD"/>
        </w:rPr>
        <w:t>.</w:t>
      </w:r>
    </w:p>
    <w:p w14:paraId="455B22FA" w14:textId="4DB3E497"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13</w:t>
      </w:r>
      <w:r w:rsidRPr="003101B1">
        <w:rPr>
          <w:b/>
          <w:bCs/>
          <w:lang w:val="en-GB" w:eastAsia="ro-MD"/>
        </w:rPr>
        <w:t xml:space="preserve">. </w:t>
      </w:r>
      <w:r w:rsidR="002B1DEF" w:rsidRPr="003101B1">
        <w:rPr>
          <w:lang w:val="en-GB" w:eastAsia="ro-MD"/>
        </w:rPr>
        <w:t>Forbearance measure is a concession by a bank towards an obligor that is experiencing or is likely to experience difficulties in meeting its financial commitments. A concession may entail a loss for the lender and shall refer to either of the following actions</w:t>
      </w:r>
      <w:r w:rsidRPr="003101B1">
        <w:rPr>
          <w:lang w:val="en-GB" w:eastAsia="ro-MD"/>
        </w:rPr>
        <w:t>:</w:t>
      </w:r>
    </w:p>
    <w:p w14:paraId="5459BBBE" w14:textId="6128563C" w:rsidR="00EB61FA" w:rsidRPr="003101B1" w:rsidRDefault="00EB61FA" w:rsidP="0016632B">
      <w:pPr>
        <w:jc w:val="both"/>
        <w:rPr>
          <w:lang w:val="en-GB" w:eastAsia="ro-MD"/>
        </w:rPr>
      </w:pPr>
      <w:r w:rsidRPr="003101B1">
        <w:rPr>
          <w:lang w:val="en-GB" w:eastAsia="ro-MD"/>
        </w:rPr>
        <w:t xml:space="preserve">1) </w:t>
      </w:r>
      <w:r w:rsidR="002B1DEF" w:rsidRPr="003101B1">
        <w:rPr>
          <w:lang w:val="en-GB" w:eastAsia="ro-MD"/>
        </w:rPr>
        <w:t>a modification of the terms and conditions of a debt obligation, where such modification would not have been granted had the obligor not experienced difficulties in meeting its financial commitments</w:t>
      </w:r>
      <w:r w:rsidRPr="003101B1">
        <w:rPr>
          <w:lang w:val="en-GB" w:eastAsia="ro-MD"/>
        </w:rPr>
        <w:t>;</w:t>
      </w:r>
    </w:p>
    <w:p w14:paraId="11844995" w14:textId="744C2C83" w:rsidR="00EB61FA" w:rsidRPr="003101B1" w:rsidRDefault="00EB61FA" w:rsidP="0016632B">
      <w:pPr>
        <w:jc w:val="both"/>
        <w:rPr>
          <w:lang w:val="en-GB" w:eastAsia="ro-MD"/>
        </w:rPr>
      </w:pPr>
      <w:r w:rsidRPr="003101B1">
        <w:rPr>
          <w:lang w:val="en-GB" w:eastAsia="ro-MD"/>
        </w:rPr>
        <w:t xml:space="preserve">2) </w:t>
      </w:r>
      <w:r w:rsidR="002B1DEF" w:rsidRPr="003101B1">
        <w:rPr>
          <w:lang w:val="en-GB" w:eastAsia="ro-MD"/>
        </w:rPr>
        <w:t>a total or partial refinancing of a debt obligation, where such refinancing would not have been granted had the obligor not experienced difficulties in meeting its financial commitments</w:t>
      </w:r>
      <w:r w:rsidRPr="003101B1">
        <w:rPr>
          <w:lang w:val="en-GB" w:eastAsia="ro-MD"/>
        </w:rPr>
        <w:t>.</w:t>
      </w:r>
    </w:p>
    <w:p w14:paraId="1B079FA4" w14:textId="0FC97E41"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14</w:t>
      </w:r>
      <w:r w:rsidRPr="003101B1">
        <w:rPr>
          <w:b/>
          <w:bCs/>
          <w:lang w:val="en-GB" w:eastAsia="ro-MD"/>
        </w:rPr>
        <w:t xml:space="preserve">. </w:t>
      </w:r>
      <w:r w:rsidR="002B1DEF" w:rsidRPr="003101B1">
        <w:rPr>
          <w:lang w:val="en-GB" w:eastAsia="ro-MD"/>
        </w:rPr>
        <w:t>At least the following situations shall be considered forbearance measures</w:t>
      </w:r>
      <w:r w:rsidRPr="003101B1">
        <w:rPr>
          <w:lang w:val="en-GB" w:eastAsia="ro-MD"/>
        </w:rPr>
        <w:t>:</w:t>
      </w:r>
    </w:p>
    <w:p w14:paraId="0E840723" w14:textId="08908C23" w:rsidR="00EB61FA" w:rsidRPr="003101B1" w:rsidRDefault="00EB61FA" w:rsidP="0016632B">
      <w:pPr>
        <w:jc w:val="both"/>
        <w:rPr>
          <w:lang w:val="en-GB" w:eastAsia="ro-MD"/>
        </w:rPr>
      </w:pPr>
      <w:r w:rsidRPr="003101B1">
        <w:rPr>
          <w:lang w:val="en-GB" w:eastAsia="ro-MD"/>
        </w:rPr>
        <w:t xml:space="preserve">1) </w:t>
      </w:r>
      <w:r w:rsidR="0019774B" w:rsidRPr="003101B1">
        <w:rPr>
          <w:lang w:val="en-GB" w:eastAsia="ro-MD"/>
        </w:rPr>
        <w:t>new contract terms are more favourable to the obligor than the previous contract terms, where the obligor is experiencing or is likely to experience difficulties in meeting its financial commitments</w:t>
      </w:r>
      <w:r w:rsidRPr="003101B1">
        <w:rPr>
          <w:lang w:val="en-GB" w:eastAsia="ro-MD"/>
        </w:rPr>
        <w:t>;</w:t>
      </w:r>
    </w:p>
    <w:p w14:paraId="7A1271CC" w14:textId="2F1AD0EE" w:rsidR="00EB61FA" w:rsidRPr="003101B1" w:rsidRDefault="00EB61FA" w:rsidP="0016632B">
      <w:pPr>
        <w:jc w:val="both"/>
        <w:rPr>
          <w:lang w:val="en-GB" w:eastAsia="ro-MD"/>
        </w:rPr>
      </w:pPr>
      <w:r w:rsidRPr="003101B1">
        <w:rPr>
          <w:lang w:val="en-GB" w:eastAsia="ro-MD"/>
        </w:rPr>
        <w:t xml:space="preserve">2) </w:t>
      </w:r>
      <w:r w:rsidR="0019774B" w:rsidRPr="003101B1">
        <w:rPr>
          <w:lang w:val="en-GB" w:eastAsia="ro-MD"/>
        </w:rPr>
        <w:t>new contract terms are more favourable to the obligor than contract terms offered by the same bank to obligors with a similar risk profile at that time, where the obligor is experiencing or is likely to experience difficulties in meeting its financial commitments</w:t>
      </w:r>
      <w:r w:rsidRPr="003101B1">
        <w:rPr>
          <w:lang w:val="en-GB" w:eastAsia="ro-MD"/>
        </w:rPr>
        <w:t>;</w:t>
      </w:r>
    </w:p>
    <w:p w14:paraId="30A4A622" w14:textId="7EA22CEB" w:rsidR="00EB61FA" w:rsidRPr="003101B1" w:rsidRDefault="00EB61FA" w:rsidP="0016632B">
      <w:pPr>
        <w:jc w:val="both"/>
        <w:rPr>
          <w:lang w:val="en-GB" w:eastAsia="ro-MD"/>
        </w:rPr>
      </w:pPr>
      <w:r w:rsidRPr="003101B1">
        <w:rPr>
          <w:lang w:val="en-GB" w:eastAsia="ro-MD"/>
        </w:rPr>
        <w:t xml:space="preserve">3) </w:t>
      </w:r>
      <w:r w:rsidR="0019774B" w:rsidRPr="003101B1">
        <w:rPr>
          <w:lang w:val="en-GB" w:eastAsia="ro-MD"/>
        </w:rPr>
        <w:t>the exposure under the initial contract terms was classified as non-performing before the modification to the contract terms or would have been classified as non-performing in the absence of modification to the contract terms</w:t>
      </w:r>
      <w:r w:rsidRPr="003101B1">
        <w:rPr>
          <w:lang w:val="en-GB" w:eastAsia="ro-MD"/>
        </w:rPr>
        <w:t>;</w:t>
      </w:r>
    </w:p>
    <w:p w14:paraId="3786261E" w14:textId="0C6E5D26" w:rsidR="00EB61FA" w:rsidRPr="003101B1" w:rsidRDefault="00EB61FA" w:rsidP="0016632B">
      <w:pPr>
        <w:jc w:val="both"/>
        <w:rPr>
          <w:lang w:val="en-GB" w:eastAsia="ro-MD"/>
        </w:rPr>
      </w:pPr>
      <w:r w:rsidRPr="003101B1">
        <w:rPr>
          <w:lang w:val="en-GB" w:eastAsia="ro-MD"/>
        </w:rPr>
        <w:t xml:space="preserve">4) </w:t>
      </w:r>
      <w:r w:rsidR="0019774B" w:rsidRPr="003101B1">
        <w:rPr>
          <w:lang w:val="en-GB" w:eastAsia="ro-MD"/>
        </w:rPr>
        <w:t>the measure results in a total or partial cancellation of the debt obligation</w:t>
      </w:r>
      <w:r w:rsidRPr="003101B1">
        <w:rPr>
          <w:lang w:val="en-GB" w:eastAsia="ro-MD"/>
        </w:rPr>
        <w:t>;</w:t>
      </w:r>
    </w:p>
    <w:p w14:paraId="3071167B" w14:textId="78A98CD1" w:rsidR="00EB61FA" w:rsidRPr="003101B1" w:rsidRDefault="00EB61FA" w:rsidP="0016632B">
      <w:pPr>
        <w:jc w:val="both"/>
        <w:rPr>
          <w:lang w:val="en-GB" w:eastAsia="ro-MD"/>
        </w:rPr>
      </w:pPr>
      <w:r w:rsidRPr="003101B1">
        <w:rPr>
          <w:lang w:val="en-GB" w:eastAsia="ro-MD"/>
        </w:rPr>
        <w:t xml:space="preserve">5) </w:t>
      </w:r>
      <w:r w:rsidR="0019774B" w:rsidRPr="003101B1">
        <w:rPr>
          <w:lang w:val="en-GB" w:eastAsia="ro-MD"/>
        </w:rPr>
        <w:t>the bank</w:t>
      </w:r>
      <w:r w:rsidRPr="003101B1">
        <w:rPr>
          <w:lang w:val="en-GB" w:eastAsia="ro-MD"/>
        </w:rPr>
        <w:t xml:space="preserve"> </w:t>
      </w:r>
      <w:r w:rsidR="0019774B" w:rsidRPr="003101B1">
        <w:rPr>
          <w:lang w:val="en-GB" w:eastAsia="ro-MD"/>
        </w:rPr>
        <w:t>approves the exercise of clauses that enable the obligor to modify the terms of the contract and the exposure was classified as non-performing before the exercise of those clauses, or would be classified as non-performing were those clauses not exercised</w:t>
      </w:r>
      <w:r w:rsidRPr="003101B1">
        <w:rPr>
          <w:lang w:val="en-GB" w:eastAsia="ro-MD"/>
        </w:rPr>
        <w:t>;</w:t>
      </w:r>
    </w:p>
    <w:p w14:paraId="7D782E64" w14:textId="4F481364" w:rsidR="00EB61FA" w:rsidRPr="003101B1" w:rsidRDefault="00EB61FA" w:rsidP="0016632B">
      <w:pPr>
        <w:jc w:val="both"/>
        <w:rPr>
          <w:lang w:val="en-GB" w:eastAsia="ro-MD"/>
        </w:rPr>
      </w:pPr>
      <w:r w:rsidRPr="003101B1">
        <w:rPr>
          <w:lang w:val="en-GB" w:eastAsia="ro-MD"/>
        </w:rPr>
        <w:t xml:space="preserve">6) </w:t>
      </w:r>
      <w:r w:rsidR="008340CB" w:rsidRPr="003101B1">
        <w:rPr>
          <w:lang w:val="en-GB" w:eastAsia="ro-MD"/>
        </w:rPr>
        <w:t>at or close to the time of the granting of debt, the obligor made payments of principal or interest on another debt obligation with the same bank, which was classified as a non-performing exposure or would have been classified as non-performing in the absence of those payments</w:t>
      </w:r>
      <w:r w:rsidRPr="003101B1">
        <w:rPr>
          <w:lang w:val="en-GB" w:eastAsia="ro-MD"/>
        </w:rPr>
        <w:t>;</w:t>
      </w:r>
    </w:p>
    <w:p w14:paraId="0698BE00" w14:textId="539C3399" w:rsidR="00EB61FA" w:rsidRPr="003101B1" w:rsidRDefault="00EB61FA" w:rsidP="0016632B">
      <w:pPr>
        <w:jc w:val="both"/>
        <w:rPr>
          <w:lang w:val="en-GB" w:eastAsia="ro-MD"/>
        </w:rPr>
      </w:pPr>
      <w:r w:rsidRPr="003101B1">
        <w:rPr>
          <w:lang w:val="en-GB" w:eastAsia="ro-MD"/>
        </w:rPr>
        <w:t xml:space="preserve">7) </w:t>
      </w:r>
      <w:r w:rsidR="008340CB" w:rsidRPr="003101B1">
        <w:rPr>
          <w:lang w:val="en-GB" w:eastAsia="ro-MD"/>
        </w:rPr>
        <w:t>the modification to the contract terms involves repayments made by taking possession of collateral, where such modification constitutes a concession</w:t>
      </w:r>
      <w:r w:rsidRPr="003101B1">
        <w:rPr>
          <w:lang w:val="en-GB" w:eastAsia="ro-MD"/>
        </w:rPr>
        <w:t>.</w:t>
      </w:r>
    </w:p>
    <w:p w14:paraId="2CBDA94B" w14:textId="3D5331F2"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15</w:t>
      </w:r>
      <w:r w:rsidRPr="003101B1">
        <w:rPr>
          <w:b/>
          <w:bCs/>
          <w:lang w:val="en-GB" w:eastAsia="ro-MD"/>
        </w:rPr>
        <w:t xml:space="preserve">. </w:t>
      </w:r>
      <w:r w:rsidR="008340CB" w:rsidRPr="003101B1">
        <w:rPr>
          <w:lang w:val="en-GB" w:eastAsia="ro-MD"/>
        </w:rPr>
        <w:t>The following circumstances are indicators that forbearance measures may have been adopted</w:t>
      </w:r>
      <w:r w:rsidRPr="003101B1">
        <w:rPr>
          <w:lang w:val="en-GB" w:eastAsia="ro-MD"/>
        </w:rPr>
        <w:t>:</w:t>
      </w:r>
    </w:p>
    <w:p w14:paraId="03146AEE" w14:textId="133CA3A8" w:rsidR="00EB61FA" w:rsidRPr="003101B1" w:rsidRDefault="00EB61FA" w:rsidP="0016632B">
      <w:pPr>
        <w:jc w:val="both"/>
        <w:rPr>
          <w:lang w:val="en-GB" w:eastAsia="ro-MD"/>
        </w:rPr>
      </w:pPr>
      <w:r w:rsidRPr="003101B1">
        <w:rPr>
          <w:lang w:val="en-GB" w:eastAsia="ro-MD"/>
        </w:rPr>
        <w:t xml:space="preserve">1) </w:t>
      </w:r>
      <w:r w:rsidR="008340CB" w:rsidRPr="003101B1">
        <w:rPr>
          <w:lang w:val="en-GB" w:eastAsia="ro-MD"/>
        </w:rPr>
        <w:t>the initial contract was past due by more than 30 days at least once during the three months prior to its modification or would be more than 30 days past due without modification</w:t>
      </w:r>
      <w:r w:rsidRPr="003101B1">
        <w:rPr>
          <w:lang w:val="en-GB" w:eastAsia="ro-MD"/>
        </w:rPr>
        <w:t>;</w:t>
      </w:r>
    </w:p>
    <w:p w14:paraId="4156E748" w14:textId="1A2B78AE" w:rsidR="00EB61FA" w:rsidRPr="003101B1" w:rsidRDefault="00EB61FA" w:rsidP="0016632B">
      <w:pPr>
        <w:jc w:val="both"/>
        <w:rPr>
          <w:lang w:val="en-GB" w:eastAsia="ro-MD"/>
        </w:rPr>
      </w:pPr>
      <w:r w:rsidRPr="003101B1">
        <w:rPr>
          <w:lang w:val="en-GB" w:eastAsia="ro-MD"/>
        </w:rPr>
        <w:t xml:space="preserve">2) </w:t>
      </w:r>
      <w:r w:rsidR="008340CB" w:rsidRPr="003101B1">
        <w:rPr>
          <w:lang w:val="en-GB" w:eastAsia="ro-MD"/>
        </w:rPr>
        <w:t>at or close to the time of concluding the credit agreement, the obligor made payments of principal or interest on another debt obligation with the same bank that was past due by 30 days at least once during the three months prior to the granting of new debt</w:t>
      </w:r>
      <w:r w:rsidRPr="003101B1">
        <w:rPr>
          <w:lang w:val="en-GB" w:eastAsia="ro-MD"/>
        </w:rPr>
        <w:t>;</w:t>
      </w:r>
    </w:p>
    <w:p w14:paraId="3DF37F30" w14:textId="519F8045" w:rsidR="00EB61FA" w:rsidRPr="003101B1" w:rsidRDefault="00EB61FA" w:rsidP="0016632B">
      <w:pPr>
        <w:jc w:val="both"/>
        <w:rPr>
          <w:lang w:val="en-GB" w:eastAsia="ro-MD"/>
        </w:rPr>
      </w:pPr>
      <w:r w:rsidRPr="003101B1">
        <w:rPr>
          <w:lang w:val="en-GB" w:eastAsia="ro-MD"/>
        </w:rPr>
        <w:t xml:space="preserve">3) </w:t>
      </w:r>
      <w:r w:rsidR="000C2549" w:rsidRPr="003101B1">
        <w:rPr>
          <w:lang w:val="en-GB" w:eastAsia="ro-MD"/>
        </w:rPr>
        <w:t>the bank</w:t>
      </w:r>
      <w:r w:rsidRPr="003101B1">
        <w:rPr>
          <w:lang w:val="en-GB" w:eastAsia="ro-MD"/>
        </w:rPr>
        <w:t xml:space="preserve"> </w:t>
      </w:r>
      <w:r w:rsidR="000C2549" w:rsidRPr="003101B1">
        <w:rPr>
          <w:lang w:val="en-GB" w:eastAsia="ro-MD"/>
        </w:rPr>
        <w:t>approves the exercise of clauses that enable the obligor to change the terms of the contract, and the exposure is 30 days past due or would be 30 days past due were those clauses not exercised</w:t>
      </w:r>
      <w:r w:rsidRPr="003101B1">
        <w:rPr>
          <w:lang w:val="en-GB" w:eastAsia="ro-MD"/>
        </w:rPr>
        <w:t>.</w:t>
      </w:r>
    </w:p>
    <w:p w14:paraId="41633099" w14:textId="200F6BB3" w:rsidR="00EB61FA" w:rsidRPr="003101B1" w:rsidRDefault="00EB61FA" w:rsidP="0016632B">
      <w:pPr>
        <w:jc w:val="both"/>
        <w:rPr>
          <w:sz w:val="18"/>
          <w:szCs w:val="18"/>
          <w:lang w:val="en-GB" w:eastAsia="ro-MD"/>
        </w:rPr>
      </w:pPr>
      <w:r w:rsidRPr="003101B1">
        <w:rPr>
          <w:b/>
          <w:bCs/>
          <w:lang w:val="en-GB" w:eastAsia="ro-MD"/>
        </w:rPr>
        <w:t>67</w:t>
      </w:r>
      <w:r w:rsidRPr="003101B1">
        <w:rPr>
          <w:b/>
          <w:bCs/>
          <w:vertAlign w:val="superscript"/>
          <w:lang w:val="en-GB" w:eastAsia="ro-MD"/>
        </w:rPr>
        <w:t>16</w:t>
      </w:r>
      <w:r w:rsidRPr="003101B1">
        <w:rPr>
          <w:b/>
          <w:bCs/>
          <w:lang w:val="en-GB" w:eastAsia="ro-MD"/>
        </w:rPr>
        <w:t xml:space="preserve">. </w:t>
      </w:r>
      <w:r w:rsidR="000C2549" w:rsidRPr="003101B1">
        <w:rPr>
          <w:lang w:val="en-GB" w:eastAsia="ro-MD"/>
        </w:rPr>
        <w:t xml:space="preserve">For the purposes of paragraphs </w:t>
      </w:r>
      <w:r w:rsidRPr="003101B1">
        <w:rPr>
          <w:lang w:val="en-GB" w:eastAsia="ro-MD"/>
        </w:rPr>
        <w:t>67</w:t>
      </w:r>
      <w:r w:rsidRPr="003101B1">
        <w:rPr>
          <w:vertAlign w:val="superscript"/>
          <w:lang w:val="en-GB" w:eastAsia="ro-MD"/>
        </w:rPr>
        <w:t>13</w:t>
      </w:r>
      <w:r w:rsidRPr="003101B1">
        <w:rPr>
          <w:lang w:val="en-GB" w:eastAsia="ro-MD"/>
        </w:rPr>
        <w:t>-67</w:t>
      </w:r>
      <w:r w:rsidRPr="003101B1">
        <w:rPr>
          <w:vertAlign w:val="superscript"/>
          <w:lang w:val="en-GB" w:eastAsia="ro-MD"/>
        </w:rPr>
        <w:t>15</w:t>
      </w:r>
      <w:r w:rsidRPr="003101B1">
        <w:rPr>
          <w:lang w:val="en-GB" w:eastAsia="ro-MD"/>
        </w:rPr>
        <w:t xml:space="preserve">, </w:t>
      </w:r>
      <w:r w:rsidR="000C2549" w:rsidRPr="003101B1">
        <w:rPr>
          <w:lang w:val="en-GB" w:eastAsia="ro-MD"/>
        </w:rPr>
        <w:t>the difficulties experienced by an obligor in meeting its financial commitments shall be assessed at obligor level, taking into account all the legal entities in the obligor's group which are included in the accounting consolidation of the group, and natural persons who control that group</w:t>
      </w:r>
      <w:r w:rsidRPr="003101B1">
        <w:rPr>
          <w:lang w:val="en-GB" w:eastAsia="ro-MD"/>
        </w:rPr>
        <w:t>.</w:t>
      </w:r>
    </w:p>
    <w:p w14:paraId="14E8EFE7" w14:textId="536428F3" w:rsidR="00EB61FA" w:rsidRPr="003101B1" w:rsidRDefault="003B6038" w:rsidP="0016632B">
      <w:pPr>
        <w:ind w:firstLine="568"/>
        <w:jc w:val="center"/>
        <w:rPr>
          <w:lang w:val="en-GB" w:eastAsia="ro-MD"/>
        </w:rPr>
      </w:pPr>
      <w:r w:rsidRPr="003101B1">
        <w:rPr>
          <w:b/>
          <w:bCs/>
          <w:i/>
          <w:iCs/>
          <w:lang w:val="en-GB" w:eastAsia="ro-MD"/>
        </w:rPr>
        <w:t>Subsection</w:t>
      </w:r>
      <w:r w:rsidR="00EB61FA" w:rsidRPr="003101B1">
        <w:rPr>
          <w:b/>
          <w:bCs/>
          <w:i/>
          <w:iCs/>
          <w:lang w:val="en-GB" w:eastAsia="ro-MD"/>
        </w:rPr>
        <w:t xml:space="preserve"> 12</w:t>
      </w:r>
    </w:p>
    <w:p w14:paraId="47483BFF" w14:textId="2685E9B7" w:rsidR="00EB61FA" w:rsidRPr="003101B1" w:rsidRDefault="003B6038" w:rsidP="0016632B">
      <w:pPr>
        <w:ind w:firstLine="568"/>
        <w:jc w:val="center"/>
        <w:rPr>
          <w:lang w:val="en-GB" w:eastAsia="ro-MD"/>
        </w:rPr>
      </w:pPr>
      <w:r w:rsidRPr="003101B1">
        <w:rPr>
          <w:b/>
          <w:bCs/>
          <w:i/>
          <w:iCs/>
          <w:lang w:val="en-GB" w:eastAsia="ro-MD"/>
        </w:rPr>
        <w:t>Deduction for non-performing exposures</w:t>
      </w:r>
    </w:p>
    <w:p w14:paraId="6156FCBB" w14:textId="74D7F050"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17</w:t>
      </w:r>
      <w:r w:rsidRPr="003101B1">
        <w:rPr>
          <w:b/>
          <w:bCs/>
          <w:lang w:val="en-GB" w:eastAsia="ro-MD"/>
        </w:rPr>
        <w:t xml:space="preserve">. </w:t>
      </w:r>
      <w:r w:rsidR="003B6038" w:rsidRPr="003101B1">
        <w:rPr>
          <w:lang w:val="en-GB" w:eastAsia="ro-MD"/>
        </w:rPr>
        <w:t>For the purposes of</w:t>
      </w:r>
      <w:r w:rsidRPr="003101B1">
        <w:rPr>
          <w:lang w:val="en-GB" w:eastAsia="ro-MD"/>
        </w:rPr>
        <w:t xml:space="preserve"> </w:t>
      </w:r>
      <w:r w:rsidR="003B6038" w:rsidRPr="003101B1">
        <w:rPr>
          <w:lang w:val="en-GB" w:eastAsia="ro-MD"/>
        </w:rPr>
        <w:t xml:space="preserve">paragraph </w:t>
      </w:r>
      <w:r w:rsidRPr="003101B1">
        <w:rPr>
          <w:lang w:val="en-GB" w:eastAsia="ro-MD"/>
        </w:rPr>
        <w:t>30 sub</w:t>
      </w:r>
      <w:r w:rsidR="003B6038" w:rsidRPr="003101B1">
        <w:rPr>
          <w:lang w:val="en-GB" w:eastAsia="ro-MD"/>
        </w:rPr>
        <w:t>-paragraph</w:t>
      </w:r>
      <w:r w:rsidRPr="003101B1">
        <w:rPr>
          <w:lang w:val="en-GB" w:eastAsia="ro-MD"/>
        </w:rPr>
        <w:t xml:space="preserve"> 12), </w:t>
      </w:r>
      <w:r w:rsidR="003B6038" w:rsidRPr="003101B1">
        <w:rPr>
          <w:lang w:val="en-GB" w:eastAsia="ro-MD"/>
        </w:rPr>
        <w:t>banks shall determine the applicable amount of insufficient coverage, separately for each non-performing exposure, to be deducted from Common Equity Tier 1 items by subtracting the amount determined in sub-paragraph 2) from the amount determined in sub-paragraph 1), where the amount referred to in sub-paragraph 1) exceeds the amount referred to in sub-paragraph 2</w:t>
      </w:r>
      <w:r w:rsidRPr="003101B1">
        <w:rPr>
          <w:lang w:val="en-GB" w:eastAsia="ro-MD"/>
        </w:rPr>
        <w:t>):</w:t>
      </w:r>
    </w:p>
    <w:p w14:paraId="612A8971" w14:textId="05E98B8C" w:rsidR="00EB61FA" w:rsidRPr="003101B1" w:rsidRDefault="00EB61FA" w:rsidP="0016632B">
      <w:pPr>
        <w:jc w:val="both"/>
        <w:rPr>
          <w:lang w:val="en-GB" w:eastAsia="ro-MD"/>
        </w:rPr>
      </w:pPr>
      <w:r w:rsidRPr="003101B1">
        <w:rPr>
          <w:lang w:val="en-GB" w:eastAsia="ro-MD"/>
        </w:rPr>
        <w:t xml:space="preserve">1) </w:t>
      </w:r>
      <w:r w:rsidR="003B6038" w:rsidRPr="003101B1">
        <w:rPr>
          <w:lang w:val="en-GB" w:eastAsia="ro-MD"/>
        </w:rPr>
        <w:t>the sum of</w:t>
      </w:r>
      <w:r w:rsidRPr="003101B1">
        <w:rPr>
          <w:lang w:val="en-GB" w:eastAsia="ro-MD"/>
        </w:rPr>
        <w:t>:</w:t>
      </w:r>
    </w:p>
    <w:p w14:paraId="37E7A964" w14:textId="66404A1F" w:rsidR="00EB61FA" w:rsidRPr="003101B1" w:rsidRDefault="00EB61FA" w:rsidP="0016632B">
      <w:pPr>
        <w:jc w:val="both"/>
        <w:rPr>
          <w:lang w:val="en-GB" w:eastAsia="ro-MD"/>
        </w:rPr>
      </w:pPr>
      <w:r w:rsidRPr="003101B1">
        <w:rPr>
          <w:lang w:val="en-GB" w:eastAsia="ro-MD"/>
        </w:rPr>
        <w:t xml:space="preserve">a) </w:t>
      </w:r>
      <w:r w:rsidR="003B6038" w:rsidRPr="003101B1">
        <w:rPr>
          <w:lang w:val="en-GB" w:eastAsia="ro-MD"/>
        </w:rPr>
        <w:t xml:space="preserve">the unsecured part of each non-performing exposure, if any, multiplied by the applicable factor referred to in paragraph </w:t>
      </w:r>
      <w:r w:rsidRPr="003101B1">
        <w:rPr>
          <w:lang w:val="en-GB" w:eastAsia="ro-MD"/>
        </w:rPr>
        <w:t>67</w:t>
      </w:r>
      <w:r w:rsidRPr="003101B1">
        <w:rPr>
          <w:vertAlign w:val="superscript"/>
          <w:lang w:val="en-GB" w:eastAsia="ro-MD"/>
        </w:rPr>
        <w:t>20</w:t>
      </w:r>
      <w:r w:rsidRPr="003101B1">
        <w:rPr>
          <w:lang w:val="en-GB" w:eastAsia="ro-MD"/>
        </w:rPr>
        <w:t>;</w:t>
      </w:r>
    </w:p>
    <w:p w14:paraId="4D5A2609" w14:textId="7622087E" w:rsidR="00EB61FA" w:rsidRPr="003101B1" w:rsidRDefault="00EB61FA" w:rsidP="0016632B">
      <w:pPr>
        <w:jc w:val="both"/>
        <w:rPr>
          <w:lang w:val="en-GB" w:eastAsia="ro-MD"/>
        </w:rPr>
      </w:pPr>
      <w:r w:rsidRPr="003101B1">
        <w:rPr>
          <w:lang w:val="en-GB" w:eastAsia="ro-MD"/>
        </w:rPr>
        <w:t xml:space="preserve">b) </w:t>
      </w:r>
      <w:r w:rsidR="003B6038" w:rsidRPr="003101B1">
        <w:rPr>
          <w:lang w:val="en-GB" w:eastAsia="ro-MD"/>
        </w:rPr>
        <w:t xml:space="preserve">the secured part of each non-performing exposure, if any, multiplied by the applicable factor referred to in paragraph </w:t>
      </w:r>
      <w:r w:rsidRPr="003101B1">
        <w:rPr>
          <w:lang w:val="en-GB" w:eastAsia="ro-MD"/>
        </w:rPr>
        <w:t>67</w:t>
      </w:r>
      <w:r w:rsidRPr="003101B1">
        <w:rPr>
          <w:vertAlign w:val="superscript"/>
          <w:lang w:val="en-GB" w:eastAsia="ro-MD"/>
        </w:rPr>
        <w:t>21</w:t>
      </w:r>
      <w:r w:rsidRPr="003101B1">
        <w:rPr>
          <w:lang w:val="en-GB" w:eastAsia="ro-MD"/>
        </w:rPr>
        <w:t>;</w:t>
      </w:r>
    </w:p>
    <w:p w14:paraId="167216C4" w14:textId="3B8BDF50" w:rsidR="00EB61FA" w:rsidRPr="003101B1" w:rsidRDefault="00EB61FA" w:rsidP="0016632B">
      <w:pPr>
        <w:jc w:val="both"/>
        <w:rPr>
          <w:lang w:val="en-GB" w:eastAsia="ro-MD"/>
        </w:rPr>
      </w:pPr>
      <w:r w:rsidRPr="003101B1">
        <w:rPr>
          <w:lang w:val="en-GB" w:eastAsia="ro-MD"/>
        </w:rPr>
        <w:t xml:space="preserve">2) </w:t>
      </w:r>
      <w:r w:rsidR="003B6038" w:rsidRPr="003101B1">
        <w:rPr>
          <w:lang w:val="en-GB" w:eastAsia="ro-MD"/>
        </w:rPr>
        <w:t>the sum of the following items provided they relate to the same non-performing exposure</w:t>
      </w:r>
      <w:r w:rsidRPr="003101B1">
        <w:rPr>
          <w:lang w:val="en-GB" w:eastAsia="ro-MD"/>
        </w:rPr>
        <w:t>:</w:t>
      </w:r>
    </w:p>
    <w:p w14:paraId="31E01B78" w14:textId="372B8DCE" w:rsidR="00EB61FA" w:rsidRPr="003101B1" w:rsidRDefault="00EB61FA" w:rsidP="0016632B">
      <w:pPr>
        <w:jc w:val="both"/>
        <w:rPr>
          <w:lang w:val="en-GB" w:eastAsia="ro-MD"/>
        </w:rPr>
      </w:pPr>
      <w:r w:rsidRPr="003101B1">
        <w:rPr>
          <w:lang w:val="en-GB" w:eastAsia="ro-MD"/>
        </w:rPr>
        <w:t xml:space="preserve">a) </w:t>
      </w:r>
      <w:r w:rsidR="003B6038" w:rsidRPr="003101B1">
        <w:rPr>
          <w:lang w:val="en-GB" w:eastAsia="ro-MD"/>
        </w:rPr>
        <w:t>specific credit risk adjustments</w:t>
      </w:r>
      <w:r w:rsidRPr="003101B1">
        <w:rPr>
          <w:lang w:val="en-GB" w:eastAsia="ro-MD"/>
        </w:rPr>
        <w:t>;</w:t>
      </w:r>
    </w:p>
    <w:p w14:paraId="7D8AA242" w14:textId="113F7093" w:rsidR="00EB61FA" w:rsidRPr="003101B1" w:rsidRDefault="00EB61FA" w:rsidP="0016632B">
      <w:pPr>
        <w:jc w:val="both"/>
        <w:rPr>
          <w:lang w:val="en-GB" w:eastAsia="ro-MD"/>
        </w:rPr>
      </w:pPr>
      <w:r w:rsidRPr="003101B1">
        <w:rPr>
          <w:lang w:val="en-GB" w:eastAsia="ro-MD"/>
        </w:rPr>
        <w:t xml:space="preserve">b) </w:t>
      </w:r>
      <w:r w:rsidR="003B6038" w:rsidRPr="003101B1">
        <w:rPr>
          <w:lang w:val="en-GB" w:eastAsia="ro-MD"/>
        </w:rPr>
        <w:t>additional value adjustments in accordance with paragraph</w:t>
      </w:r>
      <w:r w:rsidRPr="003101B1">
        <w:rPr>
          <w:lang w:val="en-GB" w:eastAsia="ro-MD"/>
        </w:rPr>
        <w:t xml:space="preserve"> 28;</w:t>
      </w:r>
    </w:p>
    <w:p w14:paraId="4A7FABBF" w14:textId="6E13EC6F" w:rsidR="00EB61FA" w:rsidRPr="003101B1" w:rsidRDefault="00EB61FA" w:rsidP="0016632B">
      <w:pPr>
        <w:jc w:val="both"/>
        <w:rPr>
          <w:lang w:val="en-GB" w:eastAsia="ro-MD"/>
        </w:rPr>
      </w:pPr>
      <w:r w:rsidRPr="003101B1">
        <w:rPr>
          <w:lang w:val="en-GB" w:eastAsia="ro-MD"/>
        </w:rPr>
        <w:t xml:space="preserve">c) </w:t>
      </w:r>
      <w:r w:rsidR="003B6038" w:rsidRPr="003101B1">
        <w:rPr>
          <w:lang w:val="en-GB" w:eastAsia="ro-MD"/>
        </w:rPr>
        <w:t>other own funds reductions</w:t>
      </w:r>
      <w:r w:rsidRPr="003101B1">
        <w:rPr>
          <w:lang w:val="en-GB" w:eastAsia="ro-MD"/>
        </w:rPr>
        <w:t>;</w:t>
      </w:r>
    </w:p>
    <w:p w14:paraId="1EEC9C46" w14:textId="11518C17" w:rsidR="00EB61FA" w:rsidRPr="003101B1" w:rsidRDefault="00EB61FA" w:rsidP="0016632B">
      <w:pPr>
        <w:jc w:val="both"/>
        <w:rPr>
          <w:lang w:val="en-GB" w:eastAsia="ro-MD"/>
        </w:rPr>
      </w:pPr>
      <w:r w:rsidRPr="003101B1">
        <w:rPr>
          <w:lang w:val="en-GB" w:eastAsia="ro-MD"/>
        </w:rPr>
        <w:t xml:space="preserve">d) </w:t>
      </w:r>
      <w:r w:rsidR="00AE4FC5" w:rsidRPr="003101B1">
        <w:rPr>
          <w:lang w:val="en-GB" w:eastAsia="ro-MD"/>
        </w:rPr>
        <w:t>for banks calculating risk-weighted exposure amounts using the IRB Approach, the absolute value of the amounts deducted pursuant to paragraph 30 sub-paragraph 31), which relate to non-performing exposures, where the absolute value attributable to each non-performing exposure is determined by multiplying the amounts deducted pursuant to paragraph 30 sub-paragraph 31) by the percentage of the expected loss amount for the non-performing exposure to total expected loss amounts for defaulted or non-defaulted exposures, as applicable</w:t>
      </w:r>
      <w:r w:rsidRPr="003101B1">
        <w:rPr>
          <w:lang w:val="en-GB" w:eastAsia="ro-MD"/>
        </w:rPr>
        <w:t>;</w:t>
      </w:r>
    </w:p>
    <w:p w14:paraId="7633F3C1" w14:textId="5F8A9802" w:rsidR="00EB61FA" w:rsidRPr="003101B1" w:rsidRDefault="00EB61FA" w:rsidP="0016632B">
      <w:pPr>
        <w:jc w:val="both"/>
        <w:rPr>
          <w:lang w:val="en-GB" w:eastAsia="ro-MD"/>
        </w:rPr>
      </w:pPr>
      <w:r w:rsidRPr="003101B1">
        <w:rPr>
          <w:lang w:val="en-GB" w:eastAsia="ro-MD"/>
        </w:rPr>
        <w:t xml:space="preserve">e) </w:t>
      </w:r>
      <w:r w:rsidR="00AE4FC5" w:rsidRPr="003101B1">
        <w:rPr>
          <w:lang w:val="en-GB" w:eastAsia="ro-MD"/>
        </w:rPr>
        <w:t>where a non-performing exposure is purchased at a price lower than the amount owed by the debtor, the difference between the purchase price and the amount owed by the debtor</w:t>
      </w:r>
      <w:r w:rsidRPr="003101B1">
        <w:rPr>
          <w:lang w:val="en-GB" w:eastAsia="ro-MD"/>
        </w:rPr>
        <w:t>;</w:t>
      </w:r>
    </w:p>
    <w:p w14:paraId="421B3A82" w14:textId="5B2876AE" w:rsidR="00EB61FA" w:rsidRPr="003101B1" w:rsidRDefault="00EB61FA" w:rsidP="0016632B">
      <w:pPr>
        <w:jc w:val="both"/>
        <w:rPr>
          <w:lang w:val="en-GB" w:eastAsia="ro-MD"/>
        </w:rPr>
      </w:pPr>
      <w:r w:rsidRPr="003101B1">
        <w:rPr>
          <w:lang w:val="en-GB" w:eastAsia="ro-MD"/>
        </w:rPr>
        <w:t xml:space="preserve">f) </w:t>
      </w:r>
      <w:r w:rsidR="00AE4FC5" w:rsidRPr="003101B1">
        <w:rPr>
          <w:lang w:val="en-GB" w:eastAsia="ro-MD"/>
        </w:rPr>
        <w:t>amounts written-off by the bank since the exposure has been classified as non-performing</w:t>
      </w:r>
      <w:r w:rsidRPr="003101B1">
        <w:rPr>
          <w:lang w:val="en-GB" w:eastAsia="ro-MD"/>
        </w:rPr>
        <w:t>.</w:t>
      </w:r>
    </w:p>
    <w:p w14:paraId="29A06FC2" w14:textId="08672A2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18</w:t>
      </w:r>
      <w:r w:rsidRPr="003101B1">
        <w:rPr>
          <w:b/>
          <w:bCs/>
          <w:lang w:val="en-GB" w:eastAsia="ro-MD"/>
        </w:rPr>
        <w:t xml:space="preserve">. </w:t>
      </w:r>
      <w:r w:rsidR="00B24932" w:rsidRPr="003101B1">
        <w:rPr>
          <w:lang w:val="en-GB" w:eastAsia="ro-MD"/>
        </w:rPr>
        <w:t>The secured part of a non-performing exposure is that part of the exposure which, for the purpose of calculating own funds requirements in accordance with the normative acts of the National Bank of Moldova on the treatment of credit risk and credit risk mitigation techniques, is considered to be covered by funded or unfunded credit protection or to be fully and completely secured by mortgages</w:t>
      </w:r>
      <w:r w:rsidRPr="003101B1">
        <w:rPr>
          <w:lang w:val="en-GB" w:eastAsia="ro-MD"/>
        </w:rPr>
        <w:t>.</w:t>
      </w:r>
    </w:p>
    <w:p w14:paraId="0AEC39D9" w14:textId="604F88A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19</w:t>
      </w:r>
      <w:r w:rsidRPr="003101B1">
        <w:rPr>
          <w:b/>
          <w:bCs/>
          <w:lang w:val="en-GB" w:eastAsia="ro-MD"/>
        </w:rPr>
        <w:t xml:space="preserve">. </w:t>
      </w:r>
      <w:r w:rsidR="00B24932" w:rsidRPr="003101B1">
        <w:rPr>
          <w:lang w:val="en-GB" w:eastAsia="ro-MD"/>
        </w:rPr>
        <w:t xml:space="preserve">The unsecured part of a non-performing exposure corresponds to the difference, if any, between the exposure value as referred to in paragraph </w:t>
      </w:r>
      <w:r w:rsidRPr="003101B1">
        <w:rPr>
          <w:lang w:val="en-GB" w:eastAsia="ro-MD"/>
        </w:rPr>
        <w:t>67</w:t>
      </w:r>
      <w:r w:rsidRPr="003101B1">
        <w:rPr>
          <w:vertAlign w:val="superscript"/>
          <w:lang w:val="en-GB" w:eastAsia="ro-MD"/>
        </w:rPr>
        <w:t>1</w:t>
      </w:r>
      <w:r w:rsidRPr="003101B1">
        <w:rPr>
          <w:lang w:val="en-GB" w:eastAsia="ro-MD"/>
        </w:rPr>
        <w:t xml:space="preserve">, </w:t>
      </w:r>
      <w:r w:rsidR="00B23E29" w:rsidRPr="003101B1">
        <w:rPr>
          <w:lang w:val="en-GB" w:eastAsia="ro-MD"/>
        </w:rPr>
        <w:t>and the secured part of the exposure, if any</w:t>
      </w:r>
      <w:r w:rsidRPr="003101B1">
        <w:rPr>
          <w:lang w:val="en-GB" w:eastAsia="ro-MD"/>
        </w:rPr>
        <w:t>.</w:t>
      </w:r>
    </w:p>
    <w:p w14:paraId="2374018A" w14:textId="39D1EEA4"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20</w:t>
      </w:r>
      <w:r w:rsidRPr="003101B1">
        <w:rPr>
          <w:b/>
          <w:bCs/>
          <w:lang w:val="en-GB" w:eastAsia="ro-MD"/>
        </w:rPr>
        <w:t>.</w:t>
      </w:r>
      <w:r w:rsidRPr="003101B1">
        <w:rPr>
          <w:lang w:val="en-GB" w:eastAsia="ro-MD"/>
        </w:rPr>
        <w:t xml:space="preserve"> </w:t>
      </w:r>
      <w:r w:rsidR="00B23E29" w:rsidRPr="003101B1">
        <w:rPr>
          <w:lang w:val="en-GB" w:eastAsia="ro-MD"/>
        </w:rPr>
        <w:t xml:space="preserve">For the purposes of paragraph </w:t>
      </w:r>
      <w:r w:rsidRPr="003101B1">
        <w:rPr>
          <w:lang w:val="en-GB" w:eastAsia="ro-MD"/>
        </w:rPr>
        <w:t>67</w:t>
      </w:r>
      <w:r w:rsidRPr="003101B1">
        <w:rPr>
          <w:vertAlign w:val="superscript"/>
          <w:lang w:val="en-GB" w:eastAsia="ro-MD"/>
        </w:rPr>
        <w:t>17</w:t>
      </w:r>
      <w:r w:rsidRPr="003101B1">
        <w:rPr>
          <w:lang w:val="en-GB" w:eastAsia="ro-MD"/>
        </w:rPr>
        <w:t xml:space="preserve"> sub</w:t>
      </w:r>
      <w:r w:rsidR="00B23E29" w:rsidRPr="003101B1">
        <w:rPr>
          <w:lang w:val="en-GB" w:eastAsia="ro-MD"/>
        </w:rPr>
        <w:t xml:space="preserve">-paragraph </w:t>
      </w:r>
      <w:r w:rsidRPr="003101B1">
        <w:rPr>
          <w:lang w:val="en-GB" w:eastAsia="ro-MD"/>
        </w:rPr>
        <w:t>1) l</w:t>
      </w:r>
      <w:r w:rsidR="00B23E29" w:rsidRPr="003101B1">
        <w:rPr>
          <w:lang w:val="en-GB" w:eastAsia="ro-MD"/>
        </w:rPr>
        <w:t>etter</w:t>
      </w:r>
      <w:r w:rsidRPr="003101B1">
        <w:rPr>
          <w:lang w:val="en-GB" w:eastAsia="ro-MD"/>
        </w:rPr>
        <w:t xml:space="preserve"> a), </w:t>
      </w:r>
      <w:r w:rsidR="00B23E29" w:rsidRPr="003101B1">
        <w:rPr>
          <w:lang w:val="en-GB" w:eastAsia="ro-MD"/>
        </w:rPr>
        <w:t>the following factors shall apply</w:t>
      </w:r>
      <w:r w:rsidRPr="003101B1">
        <w:rPr>
          <w:lang w:val="en-GB" w:eastAsia="ro-MD"/>
        </w:rPr>
        <w:t>:</w:t>
      </w:r>
    </w:p>
    <w:p w14:paraId="346BDE74" w14:textId="2DBBB5E9" w:rsidR="00EB61FA" w:rsidRPr="003101B1" w:rsidRDefault="00EB61FA" w:rsidP="0016632B">
      <w:pPr>
        <w:jc w:val="both"/>
        <w:rPr>
          <w:lang w:val="en-GB" w:eastAsia="ro-MD"/>
        </w:rPr>
      </w:pPr>
      <w:r w:rsidRPr="003101B1">
        <w:rPr>
          <w:lang w:val="en-GB" w:eastAsia="ro-MD"/>
        </w:rPr>
        <w:t xml:space="preserve">1) </w:t>
      </w:r>
      <w:r w:rsidR="00B23E29" w:rsidRPr="003101B1">
        <w:rPr>
          <w:lang w:val="en-GB" w:eastAsia="ro-MD"/>
        </w:rPr>
        <w:t>0,35 for the unsecured part of a non-performing exposure to be applied during the period between the first and the last day of the third year following its classification as non-performing</w:t>
      </w:r>
      <w:r w:rsidRPr="003101B1">
        <w:rPr>
          <w:lang w:val="en-GB" w:eastAsia="ro-MD"/>
        </w:rPr>
        <w:t>;</w:t>
      </w:r>
    </w:p>
    <w:p w14:paraId="2941E162" w14:textId="06F8CC24" w:rsidR="00EB61FA" w:rsidRPr="003101B1" w:rsidRDefault="00EB61FA" w:rsidP="0016632B">
      <w:pPr>
        <w:jc w:val="both"/>
        <w:rPr>
          <w:lang w:val="en-GB" w:eastAsia="ro-MD"/>
        </w:rPr>
      </w:pPr>
      <w:r w:rsidRPr="003101B1">
        <w:rPr>
          <w:lang w:val="en-GB" w:eastAsia="ro-MD"/>
        </w:rPr>
        <w:t xml:space="preserve">2) </w:t>
      </w:r>
      <w:r w:rsidR="00B23E29" w:rsidRPr="003101B1">
        <w:rPr>
          <w:lang w:val="en-GB" w:eastAsia="ro-MD"/>
        </w:rPr>
        <w:t>1 for the unsecured part of a non-performing exposure to be applied as of the first day of the fourth year following its classification as non-performing</w:t>
      </w:r>
      <w:r w:rsidRPr="003101B1">
        <w:rPr>
          <w:lang w:val="en-GB" w:eastAsia="ro-MD"/>
        </w:rPr>
        <w:t>.</w:t>
      </w:r>
      <w:r w:rsidRPr="003101B1">
        <w:rPr>
          <w:sz w:val="18"/>
          <w:szCs w:val="18"/>
          <w:highlight w:val="lightGray"/>
          <w:lang w:val="en-GB" w:eastAsia="ro-MD"/>
        </w:rPr>
        <w:t xml:space="preserve"> </w:t>
      </w:r>
    </w:p>
    <w:p w14:paraId="5F702CE3" w14:textId="2049A6B5"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21</w:t>
      </w:r>
      <w:r w:rsidRPr="003101B1">
        <w:rPr>
          <w:b/>
          <w:bCs/>
          <w:lang w:val="en-GB" w:eastAsia="ro-MD"/>
        </w:rPr>
        <w:t>.</w:t>
      </w:r>
      <w:r w:rsidRPr="003101B1">
        <w:rPr>
          <w:lang w:val="en-GB" w:eastAsia="ro-MD"/>
        </w:rPr>
        <w:t xml:space="preserve"> </w:t>
      </w:r>
      <w:r w:rsidR="00B23E29" w:rsidRPr="003101B1">
        <w:rPr>
          <w:lang w:val="en-GB" w:eastAsia="ro-MD"/>
        </w:rPr>
        <w:t xml:space="preserve">For the purposes of paragraph </w:t>
      </w:r>
      <w:r w:rsidRPr="003101B1">
        <w:rPr>
          <w:lang w:val="en-GB" w:eastAsia="ro-MD"/>
        </w:rPr>
        <w:t>67</w:t>
      </w:r>
      <w:r w:rsidRPr="003101B1">
        <w:rPr>
          <w:vertAlign w:val="superscript"/>
          <w:lang w:val="en-GB" w:eastAsia="ro-MD"/>
        </w:rPr>
        <w:t>17</w:t>
      </w:r>
      <w:r w:rsidRPr="003101B1">
        <w:rPr>
          <w:lang w:val="en-GB" w:eastAsia="ro-MD"/>
        </w:rPr>
        <w:t xml:space="preserve"> sub</w:t>
      </w:r>
      <w:r w:rsidR="00B23E29" w:rsidRPr="003101B1">
        <w:rPr>
          <w:lang w:val="en-GB" w:eastAsia="ro-MD"/>
        </w:rPr>
        <w:t>-paragraph</w:t>
      </w:r>
      <w:r w:rsidRPr="003101B1">
        <w:rPr>
          <w:lang w:val="en-GB" w:eastAsia="ro-MD"/>
        </w:rPr>
        <w:t xml:space="preserve"> 1) l</w:t>
      </w:r>
      <w:r w:rsidR="00B23E29" w:rsidRPr="003101B1">
        <w:rPr>
          <w:lang w:val="en-GB" w:eastAsia="ro-MD"/>
        </w:rPr>
        <w:t>etter</w:t>
      </w:r>
      <w:r w:rsidRPr="003101B1">
        <w:rPr>
          <w:lang w:val="en-GB" w:eastAsia="ro-MD"/>
        </w:rPr>
        <w:t xml:space="preserve"> b), </w:t>
      </w:r>
      <w:r w:rsidR="00B23E29" w:rsidRPr="003101B1">
        <w:rPr>
          <w:lang w:val="en-GB" w:eastAsia="ro-MD"/>
        </w:rPr>
        <w:t>the following factors shall apply</w:t>
      </w:r>
      <w:r w:rsidRPr="003101B1">
        <w:rPr>
          <w:lang w:val="en-GB" w:eastAsia="ro-MD"/>
        </w:rPr>
        <w:t>:</w:t>
      </w:r>
    </w:p>
    <w:p w14:paraId="6D76FAD2" w14:textId="1BDF2468" w:rsidR="00EB61FA" w:rsidRPr="003101B1" w:rsidRDefault="00EB61FA" w:rsidP="0016632B">
      <w:pPr>
        <w:jc w:val="both"/>
        <w:rPr>
          <w:lang w:val="en-GB" w:eastAsia="ro-MD"/>
        </w:rPr>
      </w:pPr>
      <w:r w:rsidRPr="003101B1">
        <w:rPr>
          <w:lang w:val="en-GB" w:eastAsia="ro-MD"/>
        </w:rPr>
        <w:t xml:space="preserve">1) </w:t>
      </w:r>
      <w:r w:rsidR="00B23E29" w:rsidRPr="003101B1">
        <w:rPr>
          <w:lang w:val="en-GB" w:eastAsia="ro-MD"/>
        </w:rPr>
        <w:t>0,25 for the secured part of a non-performing exposure to be applied during the period between the first and the last day of the fourth year following its classification as non-performing</w:t>
      </w:r>
      <w:r w:rsidRPr="003101B1">
        <w:rPr>
          <w:lang w:val="en-GB" w:eastAsia="ro-MD"/>
        </w:rPr>
        <w:t>;</w:t>
      </w:r>
    </w:p>
    <w:p w14:paraId="08813BE2" w14:textId="76D54D00" w:rsidR="00EB61FA" w:rsidRPr="003101B1" w:rsidRDefault="00EB61FA" w:rsidP="0016632B">
      <w:pPr>
        <w:jc w:val="both"/>
        <w:rPr>
          <w:lang w:val="en-GB" w:eastAsia="ro-MD"/>
        </w:rPr>
      </w:pPr>
      <w:r w:rsidRPr="003101B1">
        <w:rPr>
          <w:lang w:val="en-GB" w:eastAsia="ro-MD"/>
        </w:rPr>
        <w:t xml:space="preserve">2) </w:t>
      </w:r>
      <w:r w:rsidR="00B23E29" w:rsidRPr="003101B1">
        <w:rPr>
          <w:lang w:val="en-GB" w:eastAsia="ro-MD"/>
        </w:rPr>
        <w:t>0,35 for the secured part of a non-performing exposure to be applied during the period between the first and the last day of the fifth year following its classification as non-performing</w:t>
      </w:r>
      <w:r w:rsidRPr="003101B1">
        <w:rPr>
          <w:lang w:val="en-GB" w:eastAsia="ro-MD"/>
        </w:rPr>
        <w:t>;</w:t>
      </w:r>
    </w:p>
    <w:p w14:paraId="60E30EAA" w14:textId="6F82544C" w:rsidR="00EB61FA" w:rsidRPr="003101B1" w:rsidRDefault="00EB61FA" w:rsidP="0016632B">
      <w:pPr>
        <w:jc w:val="both"/>
        <w:rPr>
          <w:lang w:val="en-GB" w:eastAsia="ro-MD"/>
        </w:rPr>
      </w:pPr>
      <w:r w:rsidRPr="003101B1">
        <w:rPr>
          <w:lang w:val="en-GB" w:eastAsia="ro-MD"/>
        </w:rPr>
        <w:t xml:space="preserve">3) </w:t>
      </w:r>
      <w:r w:rsidR="00B23E29" w:rsidRPr="003101B1">
        <w:rPr>
          <w:lang w:val="en-GB" w:eastAsia="ro-MD"/>
        </w:rPr>
        <w:t>0,55 for the secured part of a non-performing exposure to be applied during the period between the first and the last day of the sixth year following its classification as non-performing</w:t>
      </w:r>
      <w:r w:rsidRPr="003101B1">
        <w:rPr>
          <w:lang w:val="en-GB" w:eastAsia="ro-MD"/>
        </w:rPr>
        <w:t>;</w:t>
      </w:r>
    </w:p>
    <w:p w14:paraId="01B66721" w14:textId="58975528" w:rsidR="00EB61FA" w:rsidRPr="003101B1" w:rsidRDefault="00EB61FA" w:rsidP="0016632B">
      <w:pPr>
        <w:jc w:val="both"/>
        <w:rPr>
          <w:lang w:val="en-GB" w:eastAsia="ro-MD"/>
        </w:rPr>
      </w:pPr>
      <w:r w:rsidRPr="003101B1">
        <w:rPr>
          <w:lang w:val="en-GB" w:eastAsia="ro-MD"/>
        </w:rPr>
        <w:t xml:space="preserve">4) </w:t>
      </w:r>
      <w:r w:rsidR="00B23E29" w:rsidRPr="003101B1">
        <w:rPr>
          <w:lang w:val="en-GB" w:eastAsia="ro-MD"/>
        </w:rPr>
        <w:t xml:space="preserve">0,70 for the part of a non-performing exposure secured by immovable property pursuant to the normative acts of the National Bank of Moldova on the </w:t>
      </w:r>
      <w:r w:rsidR="00AE2130" w:rsidRPr="003101B1">
        <w:rPr>
          <w:lang w:val="en-GB" w:eastAsia="ro-MD"/>
        </w:rPr>
        <w:t xml:space="preserve">treatment of </w:t>
      </w:r>
      <w:r w:rsidR="00B23E29" w:rsidRPr="003101B1">
        <w:rPr>
          <w:lang w:val="en-GB" w:eastAsia="ro-MD"/>
        </w:rPr>
        <w:t xml:space="preserve">credit risk and credit risk mitigation techniques or that is a residential loan guaranteed by an eligible protection provider as referred to in paragraph 36 of the Regulation on credit risk mitigation techniques </w:t>
      </w:r>
      <w:r w:rsidR="00AE2130" w:rsidRPr="003101B1">
        <w:rPr>
          <w:lang w:val="en-GB" w:eastAsia="ro-MD"/>
        </w:rPr>
        <w:t>of</w:t>
      </w:r>
      <w:r w:rsidR="00B23E29" w:rsidRPr="003101B1">
        <w:rPr>
          <w:lang w:val="en-GB" w:eastAsia="ro-MD"/>
        </w:rPr>
        <w:t xml:space="preserve"> banks approved by Decision of the Executive Board of the National Bank of Moldova No 112/2018 (hereinafter – Regulation </w:t>
      </w:r>
      <w:r w:rsidR="00AE2130" w:rsidRPr="003101B1">
        <w:rPr>
          <w:lang w:val="en-GB" w:eastAsia="ro-MD"/>
        </w:rPr>
        <w:t xml:space="preserve">No </w:t>
      </w:r>
      <w:r w:rsidR="00B23E29" w:rsidRPr="003101B1">
        <w:rPr>
          <w:lang w:val="en-GB" w:eastAsia="ro-MD"/>
        </w:rPr>
        <w:t>112/2018), shall be applied during the period between the first and the last day of the seventh year following its classification as non-performing</w:t>
      </w:r>
      <w:r w:rsidRPr="003101B1">
        <w:rPr>
          <w:lang w:val="en-GB" w:eastAsia="ro-MD"/>
        </w:rPr>
        <w:t>;</w:t>
      </w:r>
    </w:p>
    <w:p w14:paraId="4D9F0885" w14:textId="6AB7A9CA" w:rsidR="00EB61FA" w:rsidRPr="003101B1" w:rsidRDefault="00EB61FA" w:rsidP="0016632B">
      <w:pPr>
        <w:jc w:val="both"/>
        <w:rPr>
          <w:lang w:val="en-GB" w:eastAsia="ro-MD"/>
        </w:rPr>
      </w:pPr>
      <w:r w:rsidRPr="003101B1">
        <w:rPr>
          <w:lang w:val="en-GB" w:eastAsia="ro-MD"/>
        </w:rPr>
        <w:t xml:space="preserve">5) </w:t>
      </w:r>
      <w:r w:rsidR="00403F0C" w:rsidRPr="003101B1">
        <w:rPr>
          <w:lang w:val="en-GB" w:eastAsia="ro-MD"/>
        </w:rPr>
        <w:t>0,80 for the part of a non-performing exposure secured by other funded or unfunded credit protection pursuant to the credit risk treatment normative acts of the National Bank of Moldova to be applied during the period between the first and the last day of the seventh year following its classification as non-performing</w:t>
      </w:r>
      <w:r w:rsidRPr="003101B1">
        <w:rPr>
          <w:lang w:val="en-GB" w:eastAsia="ro-MD"/>
        </w:rPr>
        <w:t>;</w:t>
      </w:r>
    </w:p>
    <w:p w14:paraId="6916C49C" w14:textId="123494D0" w:rsidR="00EB61FA" w:rsidRPr="003101B1" w:rsidRDefault="00EB61FA" w:rsidP="0016632B">
      <w:pPr>
        <w:jc w:val="both"/>
        <w:rPr>
          <w:lang w:val="en-GB" w:eastAsia="ro-MD"/>
        </w:rPr>
      </w:pPr>
      <w:r w:rsidRPr="003101B1">
        <w:rPr>
          <w:lang w:val="en-GB" w:eastAsia="ro-MD"/>
        </w:rPr>
        <w:t xml:space="preserve">6) </w:t>
      </w:r>
      <w:r w:rsidR="00403F0C" w:rsidRPr="003101B1">
        <w:rPr>
          <w:lang w:val="en-GB" w:eastAsia="ro-MD"/>
        </w:rPr>
        <w:t>0,80 for the part of a non-performing exposure secured by immovable property pursuant to the normative acts of the National Bank of Moldova on the treatment of credit risk and credit risk mitigation techniques or that is a residential loan guaranteed by an eligible protection provider referred to in paragraph 36 of Regulation No 112/2018 – shall be applied during the period between the first and the last day of the eighth year following its classification as non-performing</w:t>
      </w:r>
      <w:r w:rsidRPr="003101B1">
        <w:rPr>
          <w:lang w:val="en-GB" w:eastAsia="ro-MD"/>
        </w:rPr>
        <w:t>;</w:t>
      </w:r>
    </w:p>
    <w:p w14:paraId="298193E7" w14:textId="0C5373AA" w:rsidR="00EB61FA" w:rsidRPr="003101B1" w:rsidRDefault="00EB61FA" w:rsidP="0016632B">
      <w:pPr>
        <w:jc w:val="both"/>
        <w:rPr>
          <w:lang w:val="en-GB" w:eastAsia="ro-MD"/>
        </w:rPr>
      </w:pPr>
      <w:r w:rsidRPr="003101B1">
        <w:rPr>
          <w:lang w:val="en-GB" w:eastAsia="ro-MD"/>
        </w:rPr>
        <w:t xml:space="preserve">7) </w:t>
      </w:r>
      <w:r w:rsidR="00403F0C" w:rsidRPr="003101B1">
        <w:rPr>
          <w:lang w:val="en-GB" w:eastAsia="ro-MD"/>
        </w:rPr>
        <w:t>1 for the part of a non-performing exposure secured by other funded or unfunded credit protection pursuant to normative acts of the National Bank of Moldova on the treatment of credit risk and credit risk mitigation techniques to be applied as of the first day of the eighth year following its classification as non-performing</w:t>
      </w:r>
      <w:r w:rsidRPr="003101B1">
        <w:rPr>
          <w:lang w:val="en-GB" w:eastAsia="ro-MD"/>
        </w:rPr>
        <w:t>;</w:t>
      </w:r>
    </w:p>
    <w:p w14:paraId="6B13C8BA" w14:textId="1DE12DA1" w:rsidR="00EB61FA" w:rsidRPr="003101B1" w:rsidRDefault="00EB61FA" w:rsidP="0016632B">
      <w:pPr>
        <w:jc w:val="both"/>
        <w:rPr>
          <w:lang w:val="en-GB" w:eastAsia="ro-MD"/>
        </w:rPr>
      </w:pPr>
      <w:r w:rsidRPr="003101B1">
        <w:rPr>
          <w:lang w:val="en-GB" w:eastAsia="ro-MD"/>
        </w:rPr>
        <w:t xml:space="preserve">8) </w:t>
      </w:r>
      <w:r w:rsidR="0097117C" w:rsidRPr="003101B1">
        <w:rPr>
          <w:lang w:val="en-GB" w:eastAsia="ro-MD"/>
        </w:rPr>
        <w:t>0,85 for the part of a non-performing exposure secured by immovable property pursuant to the normative acts of the National Bank of Moldova on the credit risk treatment and credit risk mitigation techniques or that is a residential loan guaranteed by an eligible protection provider referred to in paragraph 36 of Regulation No 112/2018 shall be applied during the period between the first and the last day of the ninth year following its classification as non-performing</w:t>
      </w:r>
      <w:r w:rsidRPr="003101B1">
        <w:rPr>
          <w:lang w:val="en-GB" w:eastAsia="ro-MD"/>
        </w:rPr>
        <w:t>;</w:t>
      </w:r>
    </w:p>
    <w:p w14:paraId="7108702B" w14:textId="40D11F74" w:rsidR="00EB61FA" w:rsidRPr="003101B1" w:rsidRDefault="00EB61FA" w:rsidP="0016632B">
      <w:pPr>
        <w:jc w:val="both"/>
        <w:rPr>
          <w:lang w:val="en-GB" w:eastAsia="ro-MD"/>
        </w:rPr>
      </w:pPr>
      <w:r w:rsidRPr="003101B1">
        <w:rPr>
          <w:lang w:val="en-GB" w:eastAsia="ro-MD"/>
        </w:rPr>
        <w:t xml:space="preserve">9) </w:t>
      </w:r>
      <w:r w:rsidR="0097117C" w:rsidRPr="003101B1">
        <w:rPr>
          <w:lang w:val="en-GB" w:eastAsia="ro-MD"/>
        </w:rPr>
        <w:t>1 for the part of a non-performing exposure secured by immovable property pursuant to the normative acts of the National Bank of Moldova on the treatment of credit risk and credit risk mitigation techniques or that is a residential loan guaranteed by an eligible protection provider as referred to in paragraph 36 of Regulation No 112/2018 – shall apply as of the first day of the tenth year following its classification as non-performing</w:t>
      </w:r>
      <w:r w:rsidRPr="003101B1">
        <w:rPr>
          <w:lang w:val="en-GB" w:eastAsia="ro-MD"/>
        </w:rPr>
        <w:t>.</w:t>
      </w:r>
      <w:r w:rsidRPr="003101B1">
        <w:rPr>
          <w:sz w:val="18"/>
          <w:szCs w:val="18"/>
          <w:highlight w:val="lightGray"/>
          <w:lang w:val="en-GB" w:eastAsia="ro-MD"/>
        </w:rPr>
        <w:t xml:space="preserve"> </w:t>
      </w:r>
    </w:p>
    <w:p w14:paraId="6BC41156" w14:textId="0D6A92D5"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22</w:t>
      </w:r>
      <w:r w:rsidRPr="003101B1">
        <w:rPr>
          <w:b/>
          <w:bCs/>
          <w:lang w:val="en-GB" w:eastAsia="ro-MD"/>
        </w:rPr>
        <w:t>.</w:t>
      </w:r>
      <w:r w:rsidRPr="003101B1">
        <w:rPr>
          <w:lang w:val="en-GB" w:eastAsia="ro-MD"/>
        </w:rPr>
        <w:t xml:space="preserve"> </w:t>
      </w:r>
      <w:r w:rsidR="0097117C" w:rsidRPr="003101B1">
        <w:rPr>
          <w:lang w:val="en-GB" w:eastAsia="ro-MD"/>
        </w:rPr>
        <w:t xml:space="preserve">By way of derogation from paragraph </w:t>
      </w:r>
      <w:r w:rsidRPr="003101B1">
        <w:rPr>
          <w:lang w:val="en-GB" w:eastAsia="ro-MD"/>
        </w:rPr>
        <w:t>67</w:t>
      </w:r>
      <w:r w:rsidRPr="003101B1">
        <w:rPr>
          <w:vertAlign w:val="superscript"/>
          <w:lang w:val="en-GB" w:eastAsia="ro-MD"/>
        </w:rPr>
        <w:t>21</w:t>
      </w:r>
      <w:r w:rsidRPr="003101B1">
        <w:rPr>
          <w:lang w:val="en-GB" w:eastAsia="ro-MD"/>
        </w:rPr>
        <w:t xml:space="preserve">, </w:t>
      </w:r>
      <w:r w:rsidR="0097117C" w:rsidRPr="003101B1">
        <w:rPr>
          <w:lang w:val="en-GB" w:eastAsia="ro-MD"/>
        </w:rPr>
        <w:t>the following factors shall apply to the part of the non-performing exposure guaranteed or counter-guaranteed by an eligible protection provider referred to in paragraph 36 sub-paragraphs 1) to 2) of Regulation No 112/2018, unsecured exposures which would be assigned a risk weight of 0 % under Regulation No 111/2018</w:t>
      </w:r>
      <w:r w:rsidRPr="003101B1">
        <w:rPr>
          <w:lang w:val="en-GB" w:eastAsia="ro-MD"/>
        </w:rPr>
        <w:t>:</w:t>
      </w:r>
    </w:p>
    <w:p w14:paraId="5BDA09D9" w14:textId="749F0FFD" w:rsidR="00EB61FA" w:rsidRPr="003101B1" w:rsidRDefault="00EB61FA" w:rsidP="0016632B">
      <w:pPr>
        <w:jc w:val="both"/>
        <w:rPr>
          <w:lang w:val="en-GB" w:eastAsia="ro-MD"/>
        </w:rPr>
      </w:pPr>
      <w:r w:rsidRPr="003101B1">
        <w:rPr>
          <w:lang w:val="en-GB" w:eastAsia="ro-MD"/>
        </w:rPr>
        <w:t xml:space="preserve">1) </w:t>
      </w:r>
      <w:r w:rsidR="0097117C" w:rsidRPr="003101B1">
        <w:rPr>
          <w:lang w:val="en-GB" w:eastAsia="ro-MD"/>
        </w:rPr>
        <w:t>0 for the secured part of the non-performing exposure to be applied during the period between one year and seven years following its classification as non-performing; and</w:t>
      </w:r>
    </w:p>
    <w:p w14:paraId="56B8C28A" w14:textId="3A9965AB" w:rsidR="00EB61FA" w:rsidRPr="003101B1" w:rsidRDefault="0016632B" w:rsidP="0016632B">
      <w:pPr>
        <w:jc w:val="both"/>
        <w:rPr>
          <w:lang w:val="en-GB" w:eastAsia="ro-MD"/>
        </w:rPr>
      </w:pPr>
      <w:r w:rsidRPr="003101B1">
        <w:rPr>
          <w:lang w:val="en-GB" w:eastAsia="ro-MD"/>
        </w:rPr>
        <w:t>2</w:t>
      </w:r>
      <w:r w:rsidR="00EB61FA" w:rsidRPr="003101B1">
        <w:rPr>
          <w:lang w:val="en-GB" w:eastAsia="ro-MD"/>
        </w:rPr>
        <w:t xml:space="preserve">) </w:t>
      </w:r>
      <w:r w:rsidR="0097117C" w:rsidRPr="003101B1">
        <w:rPr>
          <w:lang w:val="en-GB" w:eastAsia="ro-MD"/>
        </w:rPr>
        <w:t>1 for the secured part of the non-performing exposure to be applied as of the first day of the eighth year following its classification as non-performing, unless the eligible protection provider agreed to fulfil all payment obligations of the obligor towards the institution in full and in accordance with the original contractual payment schedule, in which case a factor of 0 for the secured part of the non-performing exposure shall apply</w:t>
      </w:r>
      <w:r w:rsidR="00EB61FA" w:rsidRPr="003101B1">
        <w:rPr>
          <w:lang w:val="en-GB" w:eastAsia="ro-MD"/>
        </w:rPr>
        <w:t>.</w:t>
      </w:r>
      <w:r w:rsidR="00EB61FA" w:rsidRPr="003101B1">
        <w:rPr>
          <w:sz w:val="18"/>
          <w:szCs w:val="18"/>
          <w:highlight w:val="lightGray"/>
          <w:lang w:val="en-GB" w:eastAsia="ro-MD"/>
        </w:rPr>
        <w:t xml:space="preserve"> </w:t>
      </w:r>
    </w:p>
    <w:p w14:paraId="090C19E1" w14:textId="7B6B039B"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23</w:t>
      </w:r>
      <w:r w:rsidRPr="003101B1">
        <w:rPr>
          <w:b/>
          <w:bCs/>
          <w:lang w:val="en-GB" w:eastAsia="ro-MD"/>
        </w:rPr>
        <w:t>.</w:t>
      </w:r>
      <w:r w:rsidRPr="003101B1">
        <w:rPr>
          <w:lang w:val="en-GB" w:eastAsia="ro-MD"/>
        </w:rPr>
        <w:t xml:space="preserve"> </w:t>
      </w:r>
      <w:r w:rsidR="0097117C" w:rsidRPr="003101B1">
        <w:rPr>
          <w:lang w:val="en-GB" w:eastAsia="ro-MD"/>
        </w:rPr>
        <w:t xml:space="preserve">By way of derogation from paragraph </w:t>
      </w:r>
      <w:r w:rsidRPr="003101B1">
        <w:rPr>
          <w:lang w:val="en-GB" w:eastAsia="ro-MD"/>
        </w:rPr>
        <w:t>67</w:t>
      </w:r>
      <w:r w:rsidRPr="003101B1">
        <w:rPr>
          <w:vertAlign w:val="superscript"/>
          <w:lang w:val="en-GB" w:eastAsia="ro-MD"/>
        </w:rPr>
        <w:t>21</w:t>
      </w:r>
      <w:r w:rsidRPr="003101B1">
        <w:rPr>
          <w:lang w:val="en-GB" w:eastAsia="ro-MD"/>
        </w:rPr>
        <w:t xml:space="preserve">, </w:t>
      </w:r>
      <w:r w:rsidR="0097117C" w:rsidRPr="003101B1">
        <w:rPr>
          <w:lang w:val="en-GB" w:eastAsia="ro-MD"/>
        </w:rPr>
        <w:t>the part of the non-performing exposure guaranteed or insured by an official export credit agency shall not be subject to the requirements laid down in this Subsection</w:t>
      </w:r>
      <w:r w:rsidRPr="003101B1">
        <w:rPr>
          <w:lang w:val="en-GB" w:eastAsia="ro-MD"/>
        </w:rPr>
        <w:t>.</w:t>
      </w:r>
      <w:r w:rsidRPr="003101B1">
        <w:rPr>
          <w:sz w:val="18"/>
          <w:szCs w:val="18"/>
          <w:highlight w:val="lightGray"/>
          <w:lang w:val="en-GB" w:eastAsia="ro-MD"/>
        </w:rPr>
        <w:t xml:space="preserve"> </w:t>
      </w:r>
    </w:p>
    <w:p w14:paraId="304975E0" w14:textId="08E550AD"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24</w:t>
      </w:r>
      <w:r w:rsidRPr="003101B1">
        <w:rPr>
          <w:b/>
          <w:bCs/>
          <w:lang w:val="en-GB" w:eastAsia="ro-MD"/>
        </w:rPr>
        <w:t>.</w:t>
      </w:r>
      <w:r w:rsidRPr="003101B1">
        <w:rPr>
          <w:lang w:val="en-GB" w:eastAsia="ro-MD"/>
        </w:rPr>
        <w:t xml:space="preserve"> </w:t>
      </w:r>
      <w:r w:rsidR="0097117C" w:rsidRPr="003101B1">
        <w:rPr>
          <w:lang w:val="en-GB" w:eastAsia="ro-MD"/>
        </w:rPr>
        <w:t xml:space="preserve">By way of derogation from paragraph </w:t>
      </w:r>
      <w:r w:rsidRPr="003101B1">
        <w:rPr>
          <w:lang w:val="en-GB" w:eastAsia="ro-MD"/>
        </w:rPr>
        <w:t>67</w:t>
      </w:r>
      <w:r w:rsidRPr="003101B1">
        <w:rPr>
          <w:vertAlign w:val="superscript"/>
          <w:lang w:val="en-GB" w:eastAsia="ro-MD"/>
        </w:rPr>
        <w:t>20</w:t>
      </w:r>
      <w:r w:rsidRPr="003101B1">
        <w:rPr>
          <w:lang w:val="en-GB" w:eastAsia="ro-MD"/>
        </w:rPr>
        <w:t xml:space="preserve">, </w:t>
      </w:r>
      <w:r w:rsidR="0097117C" w:rsidRPr="003101B1">
        <w:rPr>
          <w:lang w:val="en-GB" w:eastAsia="ro-MD"/>
        </w:rPr>
        <w:t>where an exposure has been granted a forbearance measure between one year and two years after its classification as non-performing, the factor applicable in accordance with paragraph</w:t>
      </w:r>
      <w:r w:rsidRPr="003101B1">
        <w:rPr>
          <w:lang w:val="en-GB" w:eastAsia="ro-MD"/>
        </w:rPr>
        <w:t xml:space="preserve"> 67</w:t>
      </w:r>
      <w:r w:rsidRPr="003101B1">
        <w:rPr>
          <w:vertAlign w:val="superscript"/>
          <w:lang w:val="en-GB" w:eastAsia="ro-MD"/>
        </w:rPr>
        <w:t>20</w:t>
      </w:r>
      <w:r w:rsidRPr="003101B1">
        <w:rPr>
          <w:lang w:val="en-GB" w:eastAsia="ro-MD"/>
        </w:rPr>
        <w:t xml:space="preserve"> </w:t>
      </w:r>
      <w:r w:rsidR="0097117C" w:rsidRPr="003101B1">
        <w:rPr>
          <w:lang w:val="en-GB" w:eastAsia="ro-MD"/>
        </w:rPr>
        <w:t>at the date when the forbearance measure is granted shall apply for an additional period of one year</w:t>
      </w:r>
      <w:r w:rsidRPr="003101B1">
        <w:rPr>
          <w:lang w:val="en-GB" w:eastAsia="ro-MD"/>
        </w:rPr>
        <w:t>.</w:t>
      </w:r>
      <w:r w:rsidRPr="003101B1">
        <w:rPr>
          <w:sz w:val="18"/>
          <w:szCs w:val="18"/>
          <w:highlight w:val="lightGray"/>
          <w:lang w:val="en-GB" w:eastAsia="ro-MD"/>
        </w:rPr>
        <w:t xml:space="preserve"> </w:t>
      </w:r>
    </w:p>
    <w:p w14:paraId="0D3BE181" w14:textId="13829B69" w:rsidR="00EB61FA" w:rsidRPr="003101B1" w:rsidRDefault="00EB61FA" w:rsidP="0016632B">
      <w:pPr>
        <w:jc w:val="both"/>
        <w:rPr>
          <w:lang w:val="en-GB" w:eastAsia="ro-MD"/>
        </w:rPr>
      </w:pPr>
      <w:r w:rsidRPr="003101B1">
        <w:rPr>
          <w:b/>
          <w:bCs/>
          <w:lang w:val="en-GB" w:eastAsia="ro-MD"/>
        </w:rPr>
        <w:t>67</w:t>
      </w:r>
      <w:r w:rsidRPr="003101B1">
        <w:rPr>
          <w:b/>
          <w:bCs/>
          <w:vertAlign w:val="superscript"/>
          <w:lang w:val="en-GB" w:eastAsia="ro-MD"/>
        </w:rPr>
        <w:t>25</w:t>
      </w:r>
      <w:r w:rsidRPr="003101B1">
        <w:rPr>
          <w:b/>
          <w:bCs/>
          <w:lang w:val="en-GB" w:eastAsia="ro-MD"/>
        </w:rPr>
        <w:t>.</w:t>
      </w:r>
      <w:r w:rsidRPr="003101B1">
        <w:rPr>
          <w:lang w:val="en-GB" w:eastAsia="ro-MD"/>
        </w:rPr>
        <w:t xml:space="preserve"> </w:t>
      </w:r>
      <w:r w:rsidR="0097117C" w:rsidRPr="003101B1">
        <w:rPr>
          <w:lang w:val="en-GB" w:eastAsia="ro-MD"/>
        </w:rPr>
        <w:t xml:space="preserve">By way of derogation from paragraph </w:t>
      </w:r>
      <w:r w:rsidRPr="003101B1">
        <w:rPr>
          <w:lang w:val="en-GB" w:eastAsia="ro-MD"/>
        </w:rPr>
        <w:t>67</w:t>
      </w:r>
      <w:r w:rsidRPr="003101B1">
        <w:rPr>
          <w:vertAlign w:val="superscript"/>
          <w:lang w:val="en-GB" w:eastAsia="ro-MD"/>
        </w:rPr>
        <w:t>21</w:t>
      </w:r>
      <w:r w:rsidRPr="003101B1">
        <w:rPr>
          <w:lang w:val="en-GB" w:eastAsia="ro-MD"/>
        </w:rPr>
        <w:t xml:space="preserve"> </w:t>
      </w:r>
      <w:r w:rsidR="002F070E" w:rsidRPr="003101B1">
        <w:rPr>
          <w:lang w:val="en-GB" w:eastAsia="ro-MD"/>
        </w:rPr>
        <w:t xml:space="preserve">where an exposure has been granted a forbearance measure between two and six years after its classification as non-performing, the factor applicable in accordance with paragraph </w:t>
      </w:r>
      <w:r w:rsidRPr="003101B1">
        <w:rPr>
          <w:lang w:val="en-GB" w:eastAsia="ro-MD"/>
        </w:rPr>
        <w:t>67</w:t>
      </w:r>
      <w:r w:rsidRPr="003101B1">
        <w:rPr>
          <w:vertAlign w:val="superscript"/>
          <w:lang w:val="en-GB" w:eastAsia="ro-MD"/>
        </w:rPr>
        <w:t>21</w:t>
      </w:r>
      <w:r w:rsidRPr="003101B1">
        <w:rPr>
          <w:lang w:val="en-GB" w:eastAsia="ro-MD"/>
        </w:rPr>
        <w:t xml:space="preserve"> </w:t>
      </w:r>
      <w:r w:rsidR="002F070E" w:rsidRPr="003101B1">
        <w:rPr>
          <w:lang w:val="en-GB" w:eastAsia="ro-MD"/>
        </w:rPr>
        <w:t>at the date when the forbearance measure is granted shall apply for an additional period of one year</w:t>
      </w:r>
      <w:r w:rsidRPr="003101B1">
        <w:rPr>
          <w:lang w:val="en-GB" w:eastAsia="ro-MD"/>
        </w:rPr>
        <w:t>.</w:t>
      </w:r>
      <w:r w:rsidRPr="003101B1">
        <w:rPr>
          <w:sz w:val="18"/>
          <w:szCs w:val="18"/>
          <w:highlight w:val="lightGray"/>
          <w:lang w:val="en-GB" w:eastAsia="ro-MD"/>
        </w:rPr>
        <w:t xml:space="preserve"> </w:t>
      </w:r>
    </w:p>
    <w:p w14:paraId="4D46BE25" w14:textId="4D70923D" w:rsidR="00EB61FA" w:rsidRPr="003101B1" w:rsidRDefault="00EB61FA" w:rsidP="0016632B">
      <w:pPr>
        <w:jc w:val="both"/>
        <w:rPr>
          <w:sz w:val="18"/>
          <w:szCs w:val="18"/>
          <w:lang w:val="en-GB" w:eastAsia="ro-MD"/>
        </w:rPr>
      </w:pPr>
      <w:r w:rsidRPr="003101B1">
        <w:rPr>
          <w:b/>
          <w:bCs/>
          <w:lang w:val="en-GB" w:eastAsia="ro-MD"/>
        </w:rPr>
        <w:t>67</w:t>
      </w:r>
      <w:r w:rsidRPr="003101B1">
        <w:rPr>
          <w:b/>
          <w:bCs/>
          <w:vertAlign w:val="superscript"/>
          <w:lang w:val="en-GB" w:eastAsia="ro-MD"/>
        </w:rPr>
        <w:t>26</w:t>
      </w:r>
      <w:r w:rsidRPr="003101B1">
        <w:rPr>
          <w:b/>
          <w:bCs/>
          <w:lang w:val="en-GB" w:eastAsia="ro-MD"/>
        </w:rPr>
        <w:t xml:space="preserve">. </w:t>
      </w:r>
      <w:r w:rsidR="002F070E" w:rsidRPr="003101B1">
        <w:rPr>
          <w:lang w:val="en-GB" w:eastAsia="ro-MD"/>
        </w:rPr>
        <w:t xml:space="preserve">The requirements of paragraphs </w:t>
      </w:r>
      <w:r w:rsidRPr="003101B1">
        <w:rPr>
          <w:lang w:val="en-GB" w:eastAsia="ro-MD"/>
        </w:rPr>
        <w:t>67</w:t>
      </w:r>
      <w:r w:rsidRPr="003101B1">
        <w:rPr>
          <w:vertAlign w:val="superscript"/>
          <w:lang w:val="en-GB" w:eastAsia="ro-MD"/>
        </w:rPr>
        <w:t>24</w:t>
      </w:r>
      <w:r w:rsidRPr="003101B1">
        <w:rPr>
          <w:lang w:val="en-GB" w:eastAsia="ro-MD"/>
        </w:rPr>
        <w:t xml:space="preserve"> </w:t>
      </w:r>
      <w:r w:rsidR="002F070E" w:rsidRPr="003101B1">
        <w:rPr>
          <w:lang w:val="en-GB" w:eastAsia="ro-MD"/>
        </w:rPr>
        <w:t>and</w:t>
      </w:r>
      <w:r w:rsidRPr="003101B1">
        <w:rPr>
          <w:lang w:val="en-GB" w:eastAsia="ro-MD"/>
        </w:rPr>
        <w:t xml:space="preserve"> 67</w:t>
      </w:r>
      <w:r w:rsidRPr="003101B1">
        <w:rPr>
          <w:vertAlign w:val="superscript"/>
          <w:lang w:val="en-GB" w:eastAsia="ro-MD"/>
        </w:rPr>
        <w:t>25</w:t>
      </w:r>
      <w:r w:rsidRPr="003101B1">
        <w:rPr>
          <w:lang w:val="en-GB" w:eastAsia="ro-MD"/>
        </w:rPr>
        <w:t xml:space="preserve"> </w:t>
      </w:r>
      <w:r w:rsidR="002F070E" w:rsidRPr="003101B1">
        <w:rPr>
          <w:lang w:val="en-GB" w:eastAsia="ro-MD"/>
        </w:rPr>
        <w:t>shall only apply in respect of the first forbearance measure that has been granted since the classification of the exposure as non-performing</w:t>
      </w:r>
      <w:r w:rsidRPr="003101B1">
        <w:rPr>
          <w:lang w:val="en-GB" w:eastAsia="ro-MD"/>
        </w:rPr>
        <w:t>.</w:t>
      </w:r>
      <w:r w:rsidR="00440718" w:rsidRPr="003101B1">
        <w:rPr>
          <w:sz w:val="18"/>
          <w:szCs w:val="18"/>
          <w:lang w:val="en-GB" w:eastAsia="ro-MD"/>
        </w:rPr>
        <w:t>”.</w:t>
      </w:r>
    </w:p>
    <w:p w14:paraId="1B2596B9" w14:textId="6E957AF7" w:rsidR="00390F48" w:rsidRPr="003101B1" w:rsidRDefault="002F070E" w:rsidP="00E91829">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paragraph </w:t>
      </w:r>
      <w:r w:rsidR="00390F48" w:rsidRPr="003101B1">
        <w:rPr>
          <w:lang w:val="en-GB" w:eastAsia="ro-MD"/>
        </w:rPr>
        <w:t>70:</w:t>
      </w:r>
    </w:p>
    <w:p w14:paraId="20F55472" w14:textId="232F151C" w:rsidR="00CE4D6B" w:rsidRPr="003101B1" w:rsidRDefault="002F070E" w:rsidP="00FF10CA">
      <w:pPr>
        <w:pStyle w:val="ListParagraph"/>
        <w:numPr>
          <w:ilvl w:val="2"/>
          <w:numId w:val="27"/>
        </w:numPr>
        <w:ind w:left="0" w:firstLine="568"/>
        <w:jc w:val="both"/>
        <w:rPr>
          <w:lang w:val="en-GB" w:eastAsia="ro-MD"/>
        </w:rPr>
      </w:pPr>
      <w:r w:rsidRPr="003101B1">
        <w:rPr>
          <w:lang w:val="en-GB" w:eastAsia="ro-MD"/>
        </w:rPr>
        <w:t>sub-paragraph</w:t>
      </w:r>
      <w:r w:rsidR="00390F48" w:rsidRPr="003101B1">
        <w:rPr>
          <w:lang w:val="en-GB" w:eastAsia="ro-MD"/>
        </w:rPr>
        <w:t xml:space="preserve"> 1) </w:t>
      </w:r>
      <w:r w:rsidRPr="003101B1">
        <w:rPr>
          <w:lang w:val="en-GB" w:eastAsia="ro-MD"/>
        </w:rPr>
        <w:t>shall read as follows</w:t>
      </w:r>
      <w:r w:rsidR="00390F48" w:rsidRPr="003101B1">
        <w:rPr>
          <w:lang w:val="en-GB" w:eastAsia="ro-MD"/>
        </w:rPr>
        <w:t>:</w:t>
      </w:r>
    </w:p>
    <w:p w14:paraId="5575C0F8" w14:textId="10B142C7" w:rsidR="00440718" w:rsidRPr="003101B1" w:rsidRDefault="002F070E" w:rsidP="00CE4D6B">
      <w:pPr>
        <w:jc w:val="both"/>
        <w:rPr>
          <w:lang w:val="en-GB" w:eastAsia="ro-MD"/>
        </w:rPr>
      </w:pPr>
      <w:r w:rsidRPr="003101B1">
        <w:rPr>
          <w:lang w:val="en-GB" w:eastAsia="ro-MD"/>
        </w:rPr>
        <w:t>“</w:t>
      </w:r>
      <w:r w:rsidR="00390F48" w:rsidRPr="003101B1">
        <w:rPr>
          <w:lang w:val="en-GB" w:eastAsia="ro-MD"/>
        </w:rPr>
        <w:t xml:space="preserve">1) </w:t>
      </w:r>
      <w:r w:rsidRPr="003101B1">
        <w:rPr>
          <w:lang w:val="en-GB" w:eastAsia="ro-MD"/>
        </w:rPr>
        <w:t>the instruments are directly issued by a bank and fully paid up</w:t>
      </w:r>
      <w:r w:rsidR="00390F48" w:rsidRPr="003101B1">
        <w:rPr>
          <w:lang w:val="en-GB" w:eastAsia="ro-MD"/>
        </w:rPr>
        <w:t xml:space="preserve">. </w:t>
      </w:r>
      <w:r w:rsidRPr="003101B1">
        <w:rPr>
          <w:lang w:val="en-GB" w:eastAsia="ro-MD"/>
        </w:rPr>
        <w:t>Only the part of a capital instrument that is fully paid up shall be eligible to qualify as an Additional Tier 1 instrument</w:t>
      </w:r>
      <w:r w:rsidR="00390F48" w:rsidRPr="003101B1">
        <w:rPr>
          <w:lang w:val="en-GB" w:eastAsia="ro-MD"/>
        </w:rPr>
        <w:t>;”;</w:t>
      </w:r>
    </w:p>
    <w:p w14:paraId="1E31D14D" w14:textId="3192661C" w:rsidR="00390F48" w:rsidRPr="003101B1" w:rsidRDefault="002F070E" w:rsidP="00FF10CA">
      <w:pPr>
        <w:pStyle w:val="ListParagraph"/>
        <w:numPr>
          <w:ilvl w:val="2"/>
          <w:numId w:val="27"/>
        </w:numPr>
        <w:ind w:left="0" w:firstLine="568"/>
        <w:jc w:val="both"/>
        <w:rPr>
          <w:lang w:val="en-GB" w:eastAsia="ro-MD"/>
        </w:rPr>
      </w:pPr>
      <w:r w:rsidRPr="003101B1">
        <w:rPr>
          <w:lang w:val="en-GB" w:eastAsia="ro-MD"/>
        </w:rPr>
        <w:t>sub-paragraph</w:t>
      </w:r>
      <w:r w:rsidR="00390F48" w:rsidRPr="003101B1">
        <w:rPr>
          <w:lang w:val="en-GB" w:eastAsia="ro-MD"/>
        </w:rPr>
        <w:t xml:space="preserve"> 2)</w:t>
      </w:r>
      <w:r w:rsidR="00356A1F" w:rsidRPr="003101B1">
        <w:rPr>
          <w:lang w:val="en-GB" w:eastAsia="ro-MD"/>
        </w:rPr>
        <w:t>,</w:t>
      </w:r>
      <w:r w:rsidR="00390F48" w:rsidRPr="003101B1">
        <w:rPr>
          <w:lang w:val="en-GB" w:eastAsia="ro-MD"/>
        </w:rPr>
        <w:t xml:space="preserve"> </w:t>
      </w:r>
      <w:r w:rsidRPr="003101B1">
        <w:rPr>
          <w:lang w:val="en-GB" w:eastAsia="ro-MD"/>
        </w:rPr>
        <w:t>the word “</w:t>
      </w:r>
      <w:r w:rsidR="00715F68" w:rsidRPr="003101B1">
        <w:rPr>
          <w:lang w:val="en-GB" w:eastAsia="ro-MD"/>
        </w:rPr>
        <w:t>purchased</w:t>
      </w:r>
      <w:r w:rsidR="00390F48" w:rsidRPr="003101B1">
        <w:rPr>
          <w:lang w:val="en-GB" w:eastAsia="ro-MD"/>
        </w:rPr>
        <w:t xml:space="preserve">” </w:t>
      </w:r>
      <w:r w:rsidR="00715F68" w:rsidRPr="003101B1">
        <w:rPr>
          <w:lang w:val="en-GB" w:eastAsia="ro-MD"/>
        </w:rPr>
        <w:t>shall be replaced by the word</w:t>
      </w:r>
      <w:r w:rsidR="00390F48" w:rsidRPr="003101B1">
        <w:rPr>
          <w:lang w:val="en-GB" w:eastAsia="ro-MD"/>
        </w:rPr>
        <w:t xml:space="preserve"> </w:t>
      </w:r>
      <w:r w:rsidRPr="003101B1">
        <w:rPr>
          <w:lang w:val="en-GB" w:eastAsia="ro-MD"/>
        </w:rPr>
        <w:t>“</w:t>
      </w:r>
      <w:r w:rsidR="00715F68" w:rsidRPr="003101B1">
        <w:rPr>
          <w:lang w:val="en-GB" w:eastAsia="ro-MD"/>
        </w:rPr>
        <w:t>held</w:t>
      </w:r>
      <w:r w:rsidR="00390F48" w:rsidRPr="003101B1">
        <w:rPr>
          <w:lang w:val="en-GB" w:eastAsia="ro-MD"/>
        </w:rPr>
        <w:t>”;</w:t>
      </w:r>
    </w:p>
    <w:p w14:paraId="7D0DCABD" w14:textId="79E1F09B" w:rsidR="00390F48" w:rsidRPr="003101B1" w:rsidRDefault="002F070E" w:rsidP="00FF10CA">
      <w:pPr>
        <w:pStyle w:val="ListParagraph"/>
        <w:numPr>
          <w:ilvl w:val="2"/>
          <w:numId w:val="27"/>
        </w:numPr>
        <w:ind w:left="0" w:firstLine="568"/>
        <w:jc w:val="both"/>
        <w:rPr>
          <w:lang w:val="en-GB" w:eastAsia="ro-MD"/>
        </w:rPr>
      </w:pPr>
      <w:r w:rsidRPr="003101B1">
        <w:rPr>
          <w:lang w:val="en-GB" w:eastAsia="ro-MD"/>
        </w:rPr>
        <w:t xml:space="preserve">sub-paragraph </w:t>
      </w:r>
      <w:r w:rsidR="00390F48" w:rsidRPr="003101B1">
        <w:rPr>
          <w:lang w:val="en-GB" w:eastAsia="ro-MD"/>
        </w:rPr>
        <w:t>3)</w:t>
      </w:r>
      <w:r w:rsidR="00356A1F" w:rsidRPr="003101B1">
        <w:rPr>
          <w:lang w:val="en-GB" w:eastAsia="ro-MD"/>
        </w:rPr>
        <w:t>,</w:t>
      </w:r>
      <w:r w:rsidR="00390F48" w:rsidRPr="003101B1">
        <w:rPr>
          <w:lang w:val="en-GB" w:eastAsia="ro-MD"/>
        </w:rPr>
        <w:t xml:space="preserve"> </w:t>
      </w:r>
      <w:r w:rsidR="00715F68" w:rsidRPr="003101B1">
        <w:rPr>
          <w:lang w:val="en-GB" w:eastAsia="ro-MD"/>
        </w:rPr>
        <w:t>after the word</w:t>
      </w:r>
      <w:r w:rsidR="00390F48" w:rsidRPr="003101B1">
        <w:rPr>
          <w:lang w:val="en-GB" w:eastAsia="ro-MD"/>
        </w:rPr>
        <w:t xml:space="preserve"> </w:t>
      </w:r>
      <w:r w:rsidR="00715F68" w:rsidRPr="003101B1">
        <w:rPr>
          <w:lang w:val="en-GB" w:eastAsia="ro-MD"/>
        </w:rPr>
        <w:t>“purchase</w:t>
      </w:r>
      <w:r w:rsidR="00390F48" w:rsidRPr="003101B1">
        <w:rPr>
          <w:lang w:val="en-GB" w:eastAsia="ro-MD"/>
        </w:rPr>
        <w:t xml:space="preserve">” </w:t>
      </w:r>
      <w:r w:rsidR="00715F68" w:rsidRPr="003101B1">
        <w:rPr>
          <w:lang w:val="en-GB" w:eastAsia="ro-MD"/>
        </w:rPr>
        <w:t>shall be supplemented with the words</w:t>
      </w:r>
      <w:r w:rsidR="00390F48" w:rsidRPr="003101B1">
        <w:rPr>
          <w:lang w:val="en-GB" w:eastAsia="ro-MD"/>
        </w:rPr>
        <w:t xml:space="preserve"> </w:t>
      </w:r>
      <w:r w:rsidR="00715F68" w:rsidRPr="003101B1">
        <w:rPr>
          <w:lang w:val="en-GB" w:eastAsia="ro-MD"/>
        </w:rPr>
        <w:t>“of ownership of</w:t>
      </w:r>
      <w:r w:rsidR="00390F48" w:rsidRPr="003101B1">
        <w:rPr>
          <w:lang w:val="en-GB" w:eastAsia="ro-MD"/>
        </w:rPr>
        <w:t>”;</w:t>
      </w:r>
    </w:p>
    <w:p w14:paraId="386B3E26" w14:textId="0E4CF04E" w:rsidR="00BB4489" w:rsidRPr="003101B1" w:rsidRDefault="002F070E" w:rsidP="00FF10CA">
      <w:pPr>
        <w:pStyle w:val="ListParagraph"/>
        <w:numPr>
          <w:ilvl w:val="2"/>
          <w:numId w:val="27"/>
        </w:numPr>
        <w:ind w:left="0" w:firstLine="568"/>
        <w:jc w:val="both"/>
        <w:rPr>
          <w:lang w:val="en-GB" w:eastAsia="ro-MD"/>
        </w:rPr>
      </w:pPr>
      <w:r w:rsidRPr="003101B1">
        <w:rPr>
          <w:lang w:val="en-GB" w:eastAsia="ro-MD"/>
        </w:rPr>
        <w:t xml:space="preserve">sub-paragraph </w:t>
      </w:r>
      <w:r w:rsidR="00BB4489" w:rsidRPr="003101B1">
        <w:rPr>
          <w:lang w:val="en-GB" w:eastAsia="ro-MD"/>
        </w:rPr>
        <w:t>8)</w:t>
      </w:r>
      <w:r w:rsidR="00356A1F" w:rsidRPr="003101B1">
        <w:rPr>
          <w:lang w:val="en-GB" w:eastAsia="ro-MD"/>
        </w:rPr>
        <w:t>,</w:t>
      </w:r>
      <w:r w:rsidR="00BB4489" w:rsidRPr="003101B1">
        <w:rPr>
          <w:lang w:val="en-GB" w:eastAsia="ro-MD"/>
        </w:rPr>
        <w:t xml:space="preserve"> </w:t>
      </w:r>
      <w:r w:rsidR="00715F68" w:rsidRPr="003101B1">
        <w:rPr>
          <w:lang w:val="en-GB" w:eastAsia="ro-MD"/>
        </w:rPr>
        <w:t>the words</w:t>
      </w:r>
      <w:r w:rsidR="00BB4489" w:rsidRPr="003101B1">
        <w:rPr>
          <w:lang w:val="en-GB" w:eastAsia="ro-MD"/>
        </w:rPr>
        <w:t xml:space="preserve"> </w:t>
      </w:r>
      <w:r w:rsidR="00715F68" w:rsidRPr="003101B1">
        <w:rPr>
          <w:lang w:val="en-GB" w:eastAsia="ro-MD"/>
        </w:rPr>
        <w:t>“purchase options</w:t>
      </w:r>
      <w:r w:rsidR="00BB4489" w:rsidRPr="003101B1">
        <w:rPr>
          <w:lang w:val="en-GB" w:eastAsia="ro-MD"/>
        </w:rPr>
        <w:t xml:space="preserve">” </w:t>
      </w:r>
      <w:r w:rsidR="00715F68" w:rsidRPr="003101B1">
        <w:rPr>
          <w:lang w:val="en-GB" w:eastAsia="ro-MD"/>
        </w:rPr>
        <w:t>shall be replaced with the text</w:t>
      </w:r>
      <w:r w:rsidR="00BB4489" w:rsidRPr="003101B1">
        <w:rPr>
          <w:lang w:val="en-GB" w:eastAsia="ro-MD"/>
        </w:rPr>
        <w:t xml:space="preserve"> </w:t>
      </w:r>
      <w:r w:rsidRPr="003101B1">
        <w:rPr>
          <w:lang w:val="en-GB" w:eastAsia="ro-MD"/>
        </w:rPr>
        <w:t>“</w:t>
      </w:r>
      <w:r w:rsidR="00411C0F" w:rsidRPr="003101B1">
        <w:rPr>
          <w:lang w:val="en-GB" w:eastAsia="ro-MD"/>
        </w:rPr>
        <w:t>early redemption options, including call options</w:t>
      </w:r>
      <w:r w:rsidR="00BB4489" w:rsidRPr="003101B1">
        <w:rPr>
          <w:lang w:val="en-GB" w:eastAsia="ro-MD"/>
        </w:rPr>
        <w:t>”;</w:t>
      </w:r>
    </w:p>
    <w:p w14:paraId="3E059090" w14:textId="0C93E138" w:rsidR="00CE4D6B" w:rsidRPr="003101B1" w:rsidRDefault="002F070E" w:rsidP="00FF10CA">
      <w:pPr>
        <w:pStyle w:val="ListParagraph"/>
        <w:numPr>
          <w:ilvl w:val="2"/>
          <w:numId w:val="27"/>
        </w:numPr>
        <w:ind w:left="0" w:firstLine="568"/>
        <w:jc w:val="both"/>
        <w:rPr>
          <w:lang w:val="en-GB" w:eastAsia="ro-MD"/>
        </w:rPr>
      </w:pPr>
      <w:r w:rsidRPr="003101B1">
        <w:rPr>
          <w:lang w:val="en-GB" w:eastAsia="ro-MD"/>
        </w:rPr>
        <w:t>sub-paragraph</w:t>
      </w:r>
      <w:r w:rsidR="00BB4489" w:rsidRPr="003101B1">
        <w:rPr>
          <w:lang w:val="en-GB" w:eastAsia="ro-MD"/>
        </w:rPr>
        <w:t xml:space="preserve"> 10) </w:t>
      </w:r>
      <w:r w:rsidR="00411C0F" w:rsidRPr="003101B1">
        <w:rPr>
          <w:lang w:val="en-GB" w:eastAsia="ro-MD"/>
        </w:rPr>
        <w:t>shall read as follows</w:t>
      </w:r>
      <w:r w:rsidR="00BB4489" w:rsidRPr="003101B1">
        <w:rPr>
          <w:lang w:val="en-GB" w:eastAsia="ro-MD"/>
        </w:rPr>
        <w:t>:</w:t>
      </w:r>
    </w:p>
    <w:p w14:paraId="6805B4B7" w14:textId="2D90B8F9" w:rsidR="00BB4489" w:rsidRPr="003101B1" w:rsidRDefault="00411C0F" w:rsidP="00CE4D6B">
      <w:pPr>
        <w:jc w:val="both"/>
        <w:rPr>
          <w:lang w:val="en-GB" w:eastAsia="ro-MD"/>
        </w:rPr>
      </w:pPr>
      <w:r w:rsidRPr="003101B1">
        <w:rPr>
          <w:lang w:val="en-GB" w:eastAsia="ro-MD"/>
        </w:rPr>
        <w:t>“</w:t>
      </w:r>
      <w:r w:rsidR="00BB4489" w:rsidRPr="003101B1">
        <w:rPr>
          <w:lang w:val="en-GB" w:eastAsia="ro-MD"/>
        </w:rPr>
        <w:t>10</w:t>
      </w:r>
      <w:r w:rsidRPr="003101B1">
        <w:rPr>
          <w:lang w:val="en-GB" w:eastAsia="ro-MD"/>
        </w:rPr>
        <w:t>the provisions governing the instruments do not indicate explicitly or implicitly that the instruments would be called, redeemed or repurchased, as applicable, by the bank other than in the insolvency or liquidation of the bank and the bank does not otherwise provide such an indication</w:t>
      </w:r>
      <w:r w:rsidR="00BB4489" w:rsidRPr="003101B1">
        <w:rPr>
          <w:lang w:val="en-GB" w:eastAsia="ro-MD"/>
        </w:rPr>
        <w:t>;”</w:t>
      </w:r>
      <w:r w:rsidR="00EB745A" w:rsidRPr="003101B1">
        <w:rPr>
          <w:lang w:val="en-GB" w:eastAsia="ro-MD"/>
        </w:rPr>
        <w:t>;</w:t>
      </w:r>
    </w:p>
    <w:p w14:paraId="654B215D" w14:textId="49019E85" w:rsidR="00BB4489" w:rsidRPr="003101B1" w:rsidRDefault="002F070E" w:rsidP="008714DC">
      <w:pPr>
        <w:pStyle w:val="ListParagraph"/>
        <w:numPr>
          <w:ilvl w:val="2"/>
          <w:numId w:val="27"/>
        </w:numPr>
        <w:ind w:left="0" w:firstLine="568"/>
        <w:jc w:val="both"/>
        <w:rPr>
          <w:lang w:val="en-GB" w:eastAsia="ro-MD"/>
        </w:rPr>
      </w:pPr>
      <w:r w:rsidRPr="003101B1">
        <w:rPr>
          <w:lang w:val="en-GB" w:eastAsia="ro-MD"/>
        </w:rPr>
        <w:t>sub-paragraph</w:t>
      </w:r>
      <w:r w:rsidR="00BB4489" w:rsidRPr="003101B1">
        <w:rPr>
          <w:lang w:val="en-GB" w:eastAsia="ro-MD"/>
        </w:rPr>
        <w:t xml:space="preserve"> 16)</w:t>
      </w:r>
      <w:r w:rsidR="000D7FD4" w:rsidRPr="003101B1">
        <w:rPr>
          <w:lang w:val="en-GB" w:eastAsia="ro-MD"/>
        </w:rPr>
        <w:t xml:space="preserve"> </w:t>
      </w:r>
      <w:r w:rsidR="00411C0F" w:rsidRPr="003101B1">
        <w:rPr>
          <w:lang w:val="en-GB" w:eastAsia="ro-MD"/>
        </w:rPr>
        <w:t>is repealed</w:t>
      </w:r>
      <w:r w:rsidR="00EB745A" w:rsidRPr="003101B1">
        <w:rPr>
          <w:lang w:val="en-GB" w:eastAsia="ro-MD"/>
        </w:rPr>
        <w:t>;</w:t>
      </w:r>
    </w:p>
    <w:p w14:paraId="72962B38" w14:textId="5A79B6E2" w:rsidR="00BB4489" w:rsidRPr="003101B1" w:rsidRDefault="00411C0F" w:rsidP="00B129E7">
      <w:pPr>
        <w:pStyle w:val="ListParagraph"/>
        <w:numPr>
          <w:ilvl w:val="2"/>
          <w:numId w:val="27"/>
        </w:numPr>
        <w:ind w:left="0" w:firstLine="567"/>
        <w:jc w:val="both"/>
        <w:rPr>
          <w:lang w:val="en-GB" w:eastAsia="ro-MD"/>
        </w:rPr>
      </w:pPr>
      <w:r w:rsidRPr="003101B1">
        <w:rPr>
          <w:lang w:val="en-GB" w:eastAsia="ro-MD"/>
        </w:rPr>
        <w:t>paragraphs</w:t>
      </w:r>
      <w:r w:rsidR="001236EA" w:rsidRPr="003101B1">
        <w:rPr>
          <w:lang w:val="en-GB" w:eastAsia="ro-MD"/>
        </w:rPr>
        <w:t xml:space="preserve"> 17)</w:t>
      </w:r>
      <w:r w:rsidR="00EB745A" w:rsidRPr="003101B1">
        <w:rPr>
          <w:lang w:val="en-GB" w:eastAsia="ro-MD"/>
        </w:rPr>
        <w:t>-20</w:t>
      </w:r>
      <w:r w:rsidR="001236EA" w:rsidRPr="003101B1">
        <w:rPr>
          <w:lang w:val="en-GB" w:eastAsia="ro-MD"/>
        </w:rPr>
        <w:t xml:space="preserve">) </w:t>
      </w:r>
      <w:r w:rsidRPr="003101B1">
        <w:rPr>
          <w:lang w:val="en-GB" w:eastAsia="ro-MD"/>
        </w:rPr>
        <w:t>shall be added with the following content</w:t>
      </w:r>
      <w:r w:rsidR="001236EA" w:rsidRPr="003101B1">
        <w:rPr>
          <w:lang w:val="en-GB" w:eastAsia="ro-MD"/>
        </w:rPr>
        <w:t>:</w:t>
      </w:r>
    </w:p>
    <w:p w14:paraId="519BE274" w14:textId="6C1338EE" w:rsidR="00EB745A" w:rsidRPr="003101B1" w:rsidRDefault="00411C0F" w:rsidP="001236EA">
      <w:pPr>
        <w:jc w:val="both"/>
        <w:rPr>
          <w:lang w:val="en-GB" w:eastAsia="ro-MD"/>
        </w:rPr>
      </w:pPr>
      <w:r w:rsidRPr="003101B1">
        <w:rPr>
          <w:lang w:val="en-GB" w:eastAsia="ro-MD"/>
        </w:rPr>
        <w:t>“</w:t>
      </w:r>
      <w:r w:rsidR="00EB745A" w:rsidRPr="003101B1">
        <w:rPr>
          <w:lang w:val="en-GB" w:eastAsia="ro-MD"/>
        </w:rPr>
        <w:t xml:space="preserve">17) </w:t>
      </w:r>
      <w:r w:rsidRPr="003101B1">
        <w:rPr>
          <w:lang w:val="en-GB" w:eastAsia="ro-MD"/>
        </w:rPr>
        <w:t>where the issuer is established in a third country and has been designated as part of a resolution group the resolution entity of which is established in the Republic of Moldova or in a Member State of the European Union, or where the issuer is established in a Member State of the European Union, the law or contractual provisions governing the instruments require that, upon a decision by the resolution authority to exercise the write-down and conversion powers referred to in Articles 219 to 225 of Law No 232/2016, the principal amount of the instruments is to be written down on a permanent basis or the instruments are to be converted into Common Equity Tier 1 instruments</w:t>
      </w:r>
      <w:r w:rsidR="00EB745A" w:rsidRPr="003101B1">
        <w:rPr>
          <w:lang w:val="en-GB" w:eastAsia="ro-MD"/>
        </w:rPr>
        <w:t>;”</w:t>
      </w:r>
      <w:r w:rsidR="00E97068" w:rsidRPr="003101B1">
        <w:rPr>
          <w:lang w:val="en-GB" w:eastAsia="ro-MD"/>
        </w:rPr>
        <w:t>;</w:t>
      </w:r>
    </w:p>
    <w:p w14:paraId="74BF5603" w14:textId="1904B323" w:rsidR="001236EA" w:rsidRPr="003101B1" w:rsidRDefault="00EB745A" w:rsidP="001236EA">
      <w:pPr>
        <w:jc w:val="both"/>
        <w:rPr>
          <w:sz w:val="18"/>
          <w:szCs w:val="18"/>
          <w:lang w:val="en-GB" w:eastAsia="ro-MD"/>
        </w:rPr>
      </w:pPr>
      <w:r w:rsidRPr="003101B1">
        <w:rPr>
          <w:lang w:val="en-GB" w:eastAsia="ro-MD"/>
        </w:rPr>
        <w:t>18</w:t>
      </w:r>
      <w:r w:rsidR="00411C0F" w:rsidRPr="003101B1">
        <w:rPr>
          <w:lang w:val="en-GB" w:eastAsia="ro-MD"/>
        </w:rPr>
        <w:t xml:space="preserve">) where the issuer is established in a third country and has not been designated as part of a resolution group the resolution entity of which is established in a Member State of the European Union, the law or contractual provisions governing the instruments require that, upon a decision by the relevant third-country authority, the principal amount of the instruments is to be written down on a permanent basis or the instruments </w:t>
      </w:r>
      <w:r w:rsidR="00654FF7" w:rsidRPr="003101B1">
        <w:rPr>
          <w:lang w:val="en-GB" w:eastAsia="ro-MD"/>
        </w:rPr>
        <w:t xml:space="preserve">are to be </w:t>
      </w:r>
      <w:r w:rsidR="00411C0F" w:rsidRPr="003101B1">
        <w:rPr>
          <w:lang w:val="en-GB" w:eastAsia="ro-MD"/>
        </w:rPr>
        <w:t>converted into Common Equity Tier 1 instruments</w:t>
      </w:r>
      <w:r w:rsidR="001236EA" w:rsidRPr="003101B1">
        <w:rPr>
          <w:lang w:val="en-GB" w:eastAsia="ro-MD"/>
        </w:rPr>
        <w:t>;</w:t>
      </w:r>
    </w:p>
    <w:p w14:paraId="5FC2E1EC" w14:textId="622B5133" w:rsidR="001236EA" w:rsidRPr="003101B1" w:rsidRDefault="00EB745A" w:rsidP="001236EA">
      <w:pPr>
        <w:jc w:val="both"/>
        <w:rPr>
          <w:lang w:val="en-GB" w:eastAsia="ro-MD"/>
        </w:rPr>
      </w:pPr>
      <w:r w:rsidRPr="003101B1">
        <w:rPr>
          <w:lang w:val="en-GB" w:eastAsia="ro-MD"/>
        </w:rPr>
        <w:t>19</w:t>
      </w:r>
      <w:r w:rsidR="001236EA" w:rsidRPr="003101B1">
        <w:rPr>
          <w:lang w:val="en-GB" w:eastAsia="ro-MD"/>
        </w:rPr>
        <w:t xml:space="preserve">) </w:t>
      </w:r>
      <w:r w:rsidR="00654FF7" w:rsidRPr="003101B1">
        <w:rPr>
          <w:lang w:val="en-GB" w:eastAsia="ro-MD"/>
        </w:rPr>
        <w:t>where the issuer is established in a third country and has been designated as part of a resolution group, the resolution entity of which is established in or in a Member State of the European Union, or where the issuer is established in a Member State of the European Union, the instruments may only be issued under, or be otherwise subject to, the laws of a third country if, under those laws, the exercise of the write-down and conversion powers referred to in Articles 219 to 225 of Law No 232/2016 is effective and enforceable on the basis of statutory provisions or legally enforceable contractual provisions recognising resolution or other write-down or conversion actions</w:t>
      </w:r>
      <w:r w:rsidR="001236EA" w:rsidRPr="003101B1">
        <w:rPr>
          <w:lang w:val="en-GB" w:eastAsia="ro-MD"/>
        </w:rPr>
        <w:t>;</w:t>
      </w:r>
    </w:p>
    <w:p w14:paraId="744C84B9" w14:textId="1B680D46" w:rsidR="001236EA" w:rsidRPr="003101B1" w:rsidRDefault="00EB745A" w:rsidP="001236EA">
      <w:pPr>
        <w:jc w:val="both"/>
        <w:rPr>
          <w:lang w:val="en-GB" w:eastAsia="ro-MD"/>
        </w:rPr>
      </w:pPr>
      <w:r w:rsidRPr="003101B1">
        <w:rPr>
          <w:lang w:val="en-GB" w:eastAsia="ro-MD"/>
        </w:rPr>
        <w:t>20</w:t>
      </w:r>
      <w:r w:rsidR="001236EA" w:rsidRPr="003101B1">
        <w:rPr>
          <w:lang w:val="en-GB" w:eastAsia="ro-MD"/>
        </w:rPr>
        <w:t xml:space="preserve">) </w:t>
      </w:r>
      <w:r w:rsidR="0065304E" w:rsidRPr="003101B1">
        <w:rPr>
          <w:lang w:val="en-GB" w:eastAsia="ro-MD"/>
        </w:rPr>
        <w:t>the instruments are not subject to set-off or netting arrangements that would undermine their capacity to absorb losses</w:t>
      </w:r>
      <w:r w:rsidR="001236EA" w:rsidRPr="003101B1">
        <w:rPr>
          <w:lang w:val="en-GB" w:eastAsia="ro-MD"/>
        </w:rPr>
        <w:t>.”.</w:t>
      </w:r>
    </w:p>
    <w:p w14:paraId="43BC2D00" w14:textId="0C2A0F6B" w:rsidR="00390F48" w:rsidRPr="003101B1" w:rsidRDefault="0065304E" w:rsidP="00E91829">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1236EA" w:rsidRPr="003101B1">
        <w:rPr>
          <w:lang w:val="en-GB" w:eastAsia="ro-MD"/>
        </w:rPr>
        <w:t xml:space="preserve"> 7</w:t>
      </w:r>
      <w:r w:rsidR="00CD5F97" w:rsidRPr="003101B1">
        <w:rPr>
          <w:lang w:val="en-GB" w:eastAsia="ro-MD"/>
        </w:rPr>
        <w:t>1</w:t>
      </w:r>
      <w:r w:rsidR="001236EA" w:rsidRPr="003101B1">
        <w:rPr>
          <w:lang w:val="en-GB" w:eastAsia="ro-MD"/>
        </w:rPr>
        <w:t>:</w:t>
      </w:r>
    </w:p>
    <w:p w14:paraId="3C24CE62" w14:textId="6D32C4B6" w:rsidR="00F22155" w:rsidRPr="003101B1" w:rsidRDefault="0065304E" w:rsidP="00FF10CA">
      <w:pPr>
        <w:pStyle w:val="ListParagraph"/>
        <w:numPr>
          <w:ilvl w:val="2"/>
          <w:numId w:val="27"/>
        </w:numPr>
        <w:ind w:left="0" w:firstLine="567"/>
        <w:jc w:val="both"/>
        <w:rPr>
          <w:lang w:val="en-GB" w:eastAsia="ro-MD"/>
        </w:rPr>
      </w:pPr>
      <w:r w:rsidRPr="003101B1">
        <w:rPr>
          <w:color w:val="000000" w:themeColor="text1"/>
          <w:lang w:val="en-GB" w:eastAsia="ro-MD"/>
        </w:rPr>
        <w:t>in the introductory paragraph, the words “</w:t>
      </w:r>
      <w:r w:rsidRPr="003101B1">
        <w:rPr>
          <w:lang w:val="en-GB"/>
        </w:rPr>
        <w:t>and paragraph 97, sub-paragraph 8)</w:t>
      </w:r>
      <w:r w:rsidR="00F22155" w:rsidRPr="003101B1">
        <w:rPr>
          <w:color w:val="000000" w:themeColor="text1"/>
          <w:lang w:val="en-GB" w:eastAsia="ro-MD"/>
        </w:rPr>
        <w:t xml:space="preserve">,” </w:t>
      </w:r>
      <w:r w:rsidRPr="003101B1">
        <w:rPr>
          <w:color w:val="000000" w:themeColor="text1"/>
          <w:lang w:val="en-GB" w:eastAsia="ro-MD"/>
        </w:rPr>
        <w:t>shall be replaced with the text</w:t>
      </w:r>
      <w:r w:rsidR="00F22155" w:rsidRPr="003101B1">
        <w:rPr>
          <w:color w:val="000000" w:themeColor="text1"/>
          <w:lang w:val="en-GB" w:eastAsia="ro-MD"/>
        </w:rPr>
        <w:t xml:space="preserve"> </w:t>
      </w:r>
      <w:r w:rsidRPr="003101B1">
        <w:rPr>
          <w:color w:val="000000" w:themeColor="text1"/>
          <w:lang w:val="en-GB" w:eastAsia="ro-MD"/>
        </w:rPr>
        <w:t>“</w:t>
      </w:r>
      <w:r w:rsidR="00F22155" w:rsidRPr="003101B1">
        <w:rPr>
          <w:color w:val="000000" w:themeColor="text1"/>
          <w:lang w:val="en-GB" w:eastAsia="ro-MD"/>
        </w:rPr>
        <w:t>,</w:t>
      </w:r>
      <w:r w:rsidRPr="003101B1">
        <w:rPr>
          <w:color w:val="000000" w:themeColor="text1"/>
          <w:lang w:val="en-GB" w:eastAsia="ro-MD"/>
        </w:rPr>
        <w:t xml:space="preserve"> of</w:t>
      </w:r>
      <w:r w:rsidR="00F22155" w:rsidRPr="003101B1">
        <w:rPr>
          <w:color w:val="000000" w:themeColor="text1"/>
          <w:lang w:val="en-GB" w:eastAsia="ro-MD"/>
        </w:rPr>
        <w:t xml:space="preserve"> </w:t>
      </w:r>
      <w:r w:rsidRPr="003101B1">
        <w:rPr>
          <w:lang w:val="en-GB" w:eastAsia="ro-MD"/>
        </w:rPr>
        <w:t>paragraph</w:t>
      </w:r>
      <w:r w:rsidR="00F22155" w:rsidRPr="003101B1">
        <w:rPr>
          <w:lang w:val="en-GB" w:eastAsia="ro-MD"/>
        </w:rPr>
        <w:t xml:space="preserve"> 97 sub</w:t>
      </w:r>
      <w:r w:rsidRPr="003101B1">
        <w:rPr>
          <w:lang w:val="en-GB" w:eastAsia="ro-MD"/>
        </w:rPr>
        <w:t>-paragraph</w:t>
      </w:r>
      <w:r w:rsidR="00F22155" w:rsidRPr="003101B1">
        <w:rPr>
          <w:lang w:val="en-GB" w:eastAsia="ro-MD"/>
        </w:rPr>
        <w:t xml:space="preserve"> 8), </w:t>
      </w:r>
      <w:r w:rsidRPr="003101B1">
        <w:rPr>
          <w:lang w:val="en-GB" w:eastAsia="ro-MD"/>
        </w:rPr>
        <w:t>as well as the paragraph</w:t>
      </w:r>
      <w:r w:rsidR="00475B90" w:rsidRPr="003101B1">
        <w:rPr>
          <w:lang w:val="en-GB" w:eastAsia="ro-MD"/>
        </w:rPr>
        <w:t xml:space="preserve"> </w:t>
      </w:r>
      <w:r w:rsidR="00F22155" w:rsidRPr="003101B1">
        <w:rPr>
          <w:lang w:val="en-GB" w:eastAsia="ro-MD"/>
        </w:rPr>
        <w:t>109</w:t>
      </w:r>
      <w:r w:rsidR="00F22155" w:rsidRPr="003101B1">
        <w:rPr>
          <w:vertAlign w:val="superscript"/>
          <w:lang w:val="en-GB" w:eastAsia="ro-MD"/>
        </w:rPr>
        <w:t>5</w:t>
      </w:r>
      <w:r w:rsidR="00F22155" w:rsidRPr="003101B1">
        <w:rPr>
          <w:lang w:val="en-GB" w:eastAsia="ro-MD"/>
        </w:rPr>
        <w:t>, sub</w:t>
      </w:r>
      <w:r w:rsidRPr="003101B1">
        <w:rPr>
          <w:lang w:val="en-GB" w:eastAsia="ro-MD"/>
        </w:rPr>
        <w:t>-paragraph</w:t>
      </w:r>
      <w:r w:rsidR="00F22155" w:rsidRPr="003101B1">
        <w:rPr>
          <w:lang w:val="en-GB" w:eastAsia="ro-MD"/>
        </w:rPr>
        <w:t xml:space="preserve"> 7),” </w:t>
      </w:r>
      <w:r w:rsidRPr="003101B1">
        <w:rPr>
          <w:lang w:val="en-GB" w:eastAsia="ro-MD"/>
        </w:rPr>
        <w:t>and after the words</w:t>
      </w:r>
      <w:r w:rsidR="00F22155" w:rsidRPr="003101B1">
        <w:rPr>
          <w:lang w:val="en-GB" w:eastAsia="ro-MD"/>
        </w:rPr>
        <w:t xml:space="preserve"> </w:t>
      </w:r>
      <w:r w:rsidRPr="003101B1">
        <w:rPr>
          <w:lang w:val="en-GB" w:eastAsia="ro-MD"/>
        </w:rPr>
        <w:t>“</w:t>
      </w:r>
      <w:r w:rsidR="00980EC2" w:rsidRPr="003101B1">
        <w:rPr>
          <w:lang w:val="en-GB"/>
        </w:rPr>
        <w:t>capital instrument</w:t>
      </w:r>
      <w:r w:rsidR="00F22155" w:rsidRPr="003101B1">
        <w:rPr>
          <w:lang w:val="en-GB" w:eastAsia="ro-MD"/>
        </w:rPr>
        <w:t xml:space="preserve">” </w:t>
      </w:r>
      <w:r w:rsidR="00980EC2" w:rsidRPr="003101B1">
        <w:rPr>
          <w:lang w:val="en-GB" w:eastAsia="ro-MD"/>
        </w:rPr>
        <w:t>shall be supplemented with the word</w:t>
      </w:r>
      <w:r w:rsidR="00F22155" w:rsidRPr="003101B1">
        <w:rPr>
          <w:lang w:val="en-GB" w:eastAsia="ro-MD"/>
        </w:rPr>
        <w:t xml:space="preserve"> </w:t>
      </w:r>
      <w:r w:rsidR="00980EC2" w:rsidRPr="003101B1">
        <w:rPr>
          <w:lang w:val="en-GB" w:eastAsia="ro-MD"/>
        </w:rPr>
        <w:t>“</w:t>
      </w:r>
      <w:r w:rsidR="008B672E" w:rsidRPr="003101B1">
        <w:rPr>
          <w:lang w:val="en-GB" w:eastAsia="ro-MD"/>
        </w:rPr>
        <w:t>or liability</w:t>
      </w:r>
      <w:r w:rsidR="00F22155" w:rsidRPr="003101B1">
        <w:rPr>
          <w:lang w:val="en-GB" w:eastAsia="ro-MD"/>
        </w:rPr>
        <w:t>”;</w:t>
      </w:r>
    </w:p>
    <w:p w14:paraId="581FB4DF" w14:textId="6CFB86AF" w:rsidR="00D86080" w:rsidRPr="003101B1" w:rsidRDefault="008B672E" w:rsidP="00FF10CA">
      <w:pPr>
        <w:pStyle w:val="ListParagraph"/>
        <w:numPr>
          <w:ilvl w:val="2"/>
          <w:numId w:val="27"/>
        </w:numPr>
        <w:ind w:left="0" w:firstLine="567"/>
        <w:jc w:val="both"/>
        <w:rPr>
          <w:lang w:val="en-GB" w:eastAsia="ro-MD"/>
        </w:rPr>
      </w:pPr>
      <w:bookmarkStart w:id="17" w:name="_Hlk206755682"/>
      <w:r w:rsidRPr="003101B1">
        <w:rPr>
          <w:lang w:val="en-GB" w:eastAsia="ro-MD"/>
        </w:rPr>
        <w:t>sub-paragraph</w:t>
      </w:r>
      <w:r w:rsidR="00D86080" w:rsidRPr="003101B1">
        <w:rPr>
          <w:lang w:val="en-GB" w:eastAsia="ro-MD"/>
        </w:rPr>
        <w:t xml:space="preserve"> 1)</w:t>
      </w:r>
      <w:r w:rsidR="00141516" w:rsidRPr="003101B1">
        <w:rPr>
          <w:lang w:val="en-GB" w:eastAsia="ro-MD"/>
        </w:rPr>
        <w:t>,</w:t>
      </w:r>
      <w:r w:rsidR="00D86080" w:rsidRPr="003101B1">
        <w:rPr>
          <w:lang w:val="en-GB" w:eastAsia="ro-MD"/>
        </w:rPr>
        <w:t xml:space="preserve"> </w:t>
      </w:r>
      <w:r w:rsidRPr="003101B1">
        <w:rPr>
          <w:lang w:val="en-GB" w:eastAsia="ro-MD"/>
        </w:rPr>
        <w:t>after the word</w:t>
      </w:r>
      <w:r w:rsidR="00D86080" w:rsidRPr="003101B1">
        <w:rPr>
          <w:lang w:val="en-GB" w:eastAsia="ro-MD"/>
        </w:rPr>
        <w:t xml:space="preserve"> </w:t>
      </w:r>
      <w:r w:rsidRPr="003101B1">
        <w:rPr>
          <w:lang w:val="en-GB" w:eastAsia="ro-MD"/>
        </w:rPr>
        <w:t>“</w:t>
      </w:r>
      <w:r w:rsidR="00D86080" w:rsidRPr="003101B1">
        <w:rPr>
          <w:lang w:val="en-GB" w:eastAsia="ro-MD"/>
        </w:rPr>
        <w:t>instrumen</w:t>
      </w:r>
      <w:r w:rsidRPr="003101B1">
        <w:rPr>
          <w:lang w:val="en-GB" w:eastAsia="ro-MD"/>
        </w:rPr>
        <w:t>t</w:t>
      </w:r>
      <w:r w:rsidR="00D86080" w:rsidRPr="003101B1">
        <w:rPr>
          <w:lang w:val="en-GB" w:eastAsia="ro-MD"/>
        </w:rPr>
        <w:t xml:space="preserve">” </w:t>
      </w:r>
      <w:r w:rsidRPr="003101B1">
        <w:rPr>
          <w:lang w:val="en-GB" w:eastAsia="ro-MD"/>
        </w:rPr>
        <w:t>shall be supplemented with the words</w:t>
      </w:r>
      <w:r w:rsidR="00D86080" w:rsidRPr="003101B1">
        <w:rPr>
          <w:lang w:val="en-GB" w:eastAsia="ro-MD"/>
        </w:rPr>
        <w:t xml:space="preserve"> </w:t>
      </w:r>
      <w:r w:rsidRPr="003101B1">
        <w:rPr>
          <w:lang w:val="en-GB" w:eastAsia="ro-MD"/>
        </w:rPr>
        <w:t>“or liability</w:t>
      </w:r>
      <w:r w:rsidR="00D86080" w:rsidRPr="003101B1">
        <w:rPr>
          <w:lang w:val="en-GB" w:eastAsia="ro-MD"/>
        </w:rPr>
        <w:t>”;</w:t>
      </w:r>
    </w:p>
    <w:bookmarkEnd w:id="17"/>
    <w:p w14:paraId="10B78447" w14:textId="6E119062" w:rsidR="00D86080" w:rsidRPr="003101B1" w:rsidRDefault="008B672E" w:rsidP="00FF10CA">
      <w:pPr>
        <w:pStyle w:val="ListParagraph"/>
        <w:numPr>
          <w:ilvl w:val="2"/>
          <w:numId w:val="27"/>
        </w:numPr>
        <w:ind w:left="0" w:firstLine="567"/>
        <w:jc w:val="both"/>
        <w:rPr>
          <w:lang w:val="en-GB" w:eastAsia="ro-MD"/>
        </w:rPr>
      </w:pPr>
      <w:r w:rsidRPr="003101B1">
        <w:rPr>
          <w:lang w:val="en-GB" w:eastAsia="ro-MD"/>
        </w:rPr>
        <w:t>sub-paragraph</w:t>
      </w:r>
      <w:r w:rsidR="00D86080" w:rsidRPr="003101B1">
        <w:rPr>
          <w:lang w:val="en-GB" w:eastAsia="ro-MD"/>
        </w:rPr>
        <w:t xml:space="preserve"> 3)</w:t>
      </w:r>
      <w:r w:rsidR="00141516" w:rsidRPr="003101B1">
        <w:rPr>
          <w:lang w:val="en-GB" w:eastAsia="ro-MD"/>
        </w:rPr>
        <w:t>,</w:t>
      </w:r>
      <w:r w:rsidR="00D86080" w:rsidRPr="003101B1">
        <w:rPr>
          <w:lang w:val="en-GB" w:eastAsia="ro-MD"/>
        </w:rPr>
        <w:t xml:space="preserve"> </w:t>
      </w:r>
      <w:r w:rsidRPr="003101B1">
        <w:rPr>
          <w:lang w:val="en-GB" w:eastAsia="ro-MD"/>
        </w:rPr>
        <w:t>after the word</w:t>
      </w:r>
      <w:r w:rsidR="00D86080" w:rsidRPr="003101B1">
        <w:rPr>
          <w:lang w:val="en-GB" w:eastAsia="ro-MD"/>
        </w:rPr>
        <w:t xml:space="preserve"> </w:t>
      </w:r>
      <w:r w:rsidRPr="003101B1">
        <w:rPr>
          <w:lang w:val="en-GB" w:eastAsia="ro-MD"/>
        </w:rPr>
        <w:t>“</w:t>
      </w:r>
      <w:r w:rsidR="00D86080" w:rsidRPr="003101B1">
        <w:rPr>
          <w:lang w:val="en-GB" w:eastAsia="ro-MD"/>
        </w:rPr>
        <w:t xml:space="preserve">instrument” </w:t>
      </w:r>
      <w:r w:rsidRPr="003101B1">
        <w:rPr>
          <w:lang w:val="en-GB" w:eastAsia="ro-MD"/>
        </w:rPr>
        <w:t>shall be supplemented with</w:t>
      </w:r>
      <w:r w:rsidR="00D86080" w:rsidRPr="003101B1">
        <w:rPr>
          <w:lang w:val="en-GB" w:eastAsia="ro-MD"/>
        </w:rPr>
        <w:t xml:space="preserve"> </w:t>
      </w:r>
      <w:r w:rsidRPr="003101B1">
        <w:rPr>
          <w:lang w:val="en-GB" w:eastAsia="ro-MD"/>
        </w:rPr>
        <w:t>“or liability</w:t>
      </w:r>
      <w:r w:rsidR="00D86080" w:rsidRPr="003101B1">
        <w:rPr>
          <w:lang w:val="en-GB" w:eastAsia="ro-MD"/>
        </w:rPr>
        <w:t>”;</w:t>
      </w:r>
    </w:p>
    <w:p w14:paraId="07B9D9B2" w14:textId="1B34BC8B" w:rsidR="00D86080" w:rsidRPr="003101B1" w:rsidRDefault="008B672E" w:rsidP="00FF10CA">
      <w:pPr>
        <w:pStyle w:val="ListParagraph"/>
        <w:numPr>
          <w:ilvl w:val="2"/>
          <w:numId w:val="27"/>
        </w:numPr>
        <w:ind w:left="0" w:firstLine="567"/>
        <w:jc w:val="both"/>
        <w:rPr>
          <w:lang w:val="en-GB" w:eastAsia="ro-MD"/>
        </w:rPr>
      </w:pPr>
      <w:r w:rsidRPr="003101B1">
        <w:rPr>
          <w:lang w:val="en-GB" w:eastAsia="ro-MD"/>
        </w:rPr>
        <w:t>sup-paragraphs</w:t>
      </w:r>
      <w:r w:rsidR="00D86080" w:rsidRPr="003101B1">
        <w:rPr>
          <w:lang w:val="en-GB" w:eastAsia="ro-MD"/>
        </w:rPr>
        <w:t xml:space="preserve"> 4), 5) </w:t>
      </w:r>
      <w:r w:rsidRPr="003101B1">
        <w:rPr>
          <w:lang w:val="en-GB" w:eastAsia="ro-MD"/>
        </w:rPr>
        <w:t>and</w:t>
      </w:r>
      <w:r w:rsidR="00D86080" w:rsidRPr="003101B1">
        <w:rPr>
          <w:lang w:val="en-GB" w:eastAsia="ro-MD"/>
        </w:rPr>
        <w:t xml:space="preserve"> 6) </w:t>
      </w:r>
      <w:r w:rsidRPr="003101B1">
        <w:rPr>
          <w:lang w:val="en-GB" w:eastAsia="ro-MD"/>
        </w:rPr>
        <w:t>shall be added with the following content</w:t>
      </w:r>
      <w:r w:rsidR="00D86080" w:rsidRPr="003101B1">
        <w:rPr>
          <w:lang w:val="en-GB" w:eastAsia="ro-MD"/>
        </w:rPr>
        <w:t>:</w:t>
      </w:r>
    </w:p>
    <w:p w14:paraId="3D85D613" w14:textId="169E0EFC" w:rsidR="00D86080" w:rsidRPr="003101B1" w:rsidRDefault="008B672E" w:rsidP="00D86080">
      <w:pPr>
        <w:jc w:val="both"/>
        <w:rPr>
          <w:lang w:val="en-GB" w:eastAsia="ro-MD"/>
        </w:rPr>
      </w:pPr>
      <w:r w:rsidRPr="003101B1">
        <w:rPr>
          <w:lang w:val="en-GB" w:eastAsia="ro-MD"/>
        </w:rPr>
        <w:t>“</w:t>
      </w:r>
      <w:r w:rsidR="00D86080" w:rsidRPr="003101B1">
        <w:rPr>
          <w:lang w:val="en-GB" w:eastAsia="ro-MD"/>
        </w:rPr>
        <w:t>4)</w:t>
      </w:r>
      <w:r w:rsidR="00D86080" w:rsidRPr="003101B1">
        <w:rPr>
          <w:rFonts w:ascii="Calibri" w:eastAsia="Calibri" w:hAnsi="Calibri"/>
          <w:kern w:val="2"/>
          <w:sz w:val="22"/>
          <w:szCs w:val="22"/>
          <w:lang w:val="en-GB"/>
          <w14:ligatures w14:val="standardContextual"/>
        </w:rPr>
        <w:t xml:space="preserve"> </w:t>
      </w:r>
      <w:r w:rsidR="00717ED9" w:rsidRPr="003101B1">
        <w:rPr>
          <w:lang w:val="en-GB" w:eastAsia="ro-MD"/>
        </w:rPr>
        <w:t>a call option linked to an increase in the credit spread of the instrument or liability if the call option is not exercised</w:t>
      </w:r>
      <w:r w:rsidR="00D86080" w:rsidRPr="003101B1">
        <w:rPr>
          <w:lang w:val="en-GB" w:eastAsia="ro-MD"/>
        </w:rPr>
        <w:t>;</w:t>
      </w:r>
      <w:r w:rsidR="00D86080" w:rsidRPr="003101B1">
        <w:rPr>
          <w:sz w:val="18"/>
          <w:szCs w:val="18"/>
          <w:highlight w:val="lightGray"/>
          <w:lang w:val="en-GB" w:eastAsia="ro-MD"/>
        </w:rPr>
        <w:t xml:space="preserve"> </w:t>
      </w:r>
    </w:p>
    <w:p w14:paraId="52727264" w14:textId="2EA8083D" w:rsidR="00D86080" w:rsidRPr="003101B1" w:rsidRDefault="00D86080" w:rsidP="00D86080">
      <w:pPr>
        <w:jc w:val="both"/>
        <w:rPr>
          <w:lang w:val="en-GB" w:eastAsia="ro-MD"/>
        </w:rPr>
      </w:pPr>
      <w:r w:rsidRPr="003101B1">
        <w:rPr>
          <w:lang w:val="en-GB" w:eastAsia="ro-MD"/>
        </w:rPr>
        <w:t>5)</w:t>
      </w:r>
      <w:r w:rsidRPr="003101B1">
        <w:rPr>
          <w:rFonts w:ascii="Calibri" w:eastAsia="Calibri" w:hAnsi="Calibri"/>
          <w:kern w:val="2"/>
          <w:sz w:val="22"/>
          <w:szCs w:val="22"/>
          <w:lang w:val="en-GB"/>
          <w14:ligatures w14:val="standardContextual"/>
        </w:rPr>
        <w:t xml:space="preserve"> </w:t>
      </w:r>
      <w:r w:rsidR="00717ED9" w:rsidRPr="003101B1">
        <w:rPr>
          <w:lang w:val="en-GB" w:eastAsia="ro-MD"/>
        </w:rPr>
        <w:t>a call option linked to a change in the reference rate if the credit spread above the second reference rate is higher than the initial payment rate minus the swap rate</w:t>
      </w:r>
      <w:r w:rsidRPr="003101B1">
        <w:rPr>
          <w:lang w:val="en-GB" w:eastAsia="ro-MD"/>
        </w:rPr>
        <w:t>;</w:t>
      </w:r>
    </w:p>
    <w:p w14:paraId="544F185D" w14:textId="07674583" w:rsidR="00C3555E" w:rsidRPr="003101B1" w:rsidRDefault="00D86080" w:rsidP="00D86080">
      <w:pPr>
        <w:jc w:val="both"/>
        <w:rPr>
          <w:lang w:val="en-GB" w:eastAsia="ro-MD"/>
        </w:rPr>
      </w:pPr>
      <w:r w:rsidRPr="003101B1">
        <w:rPr>
          <w:lang w:val="en-GB" w:eastAsia="ro-MD"/>
        </w:rPr>
        <w:t>6)</w:t>
      </w:r>
      <w:r w:rsidRPr="003101B1">
        <w:rPr>
          <w:rFonts w:ascii="Calibri" w:eastAsia="Calibri" w:hAnsi="Calibri"/>
          <w:kern w:val="2"/>
          <w:sz w:val="22"/>
          <w:szCs w:val="22"/>
          <w:lang w:val="en-GB"/>
          <w14:ligatures w14:val="standardContextual"/>
        </w:rPr>
        <w:t xml:space="preserve"> </w:t>
      </w:r>
      <w:r w:rsidR="00717ED9" w:rsidRPr="003101B1">
        <w:rPr>
          <w:lang w:val="en-GB" w:eastAsia="ro-MD"/>
        </w:rPr>
        <w:t>a re-marketing option linked to an increase in the credit spread of the instrument or liability or a change in the reference rate if the credit spread above the second reference rate is higher than the original payment rate minus the swap rate if the instrument or liability is not re-marketed</w:t>
      </w:r>
      <w:r w:rsidRPr="003101B1">
        <w:rPr>
          <w:lang w:val="en-GB" w:eastAsia="ro-MD"/>
        </w:rPr>
        <w:t>.”.</w:t>
      </w:r>
    </w:p>
    <w:p w14:paraId="3F14E8C2" w14:textId="5B0E51F7" w:rsidR="00D86080" w:rsidRPr="003101B1" w:rsidRDefault="00717ED9" w:rsidP="00E91829">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D86080" w:rsidRPr="003101B1">
        <w:rPr>
          <w:lang w:val="en-GB" w:eastAsia="ro-MD"/>
        </w:rPr>
        <w:t xml:space="preserve"> 73 </w:t>
      </w:r>
      <w:r w:rsidRPr="003101B1">
        <w:rPr>
          <w:lang w:val="en-GB" w:eastAsia="ro-MD"/>
        </w:rPr>
        <w:t>shall be supplemented with sub-paragraph</w:t>
      </w:r>
      <w:r w:rsidR="00D86080" w:rsidRPr="003101B1">
        <w:rPr>
          <w:lang w:val="en-GB" w:eastAsia="ro-MD"/>
        </w:rPr>
        <w:t xml:space="preserve"> 5) </w:t>
      </w:r>
      <w:r w:rsidRPr="003101B1">
        <w:rPr>
          <w:lang w:val="en-GB" w:eastAsia="ro-MD"/>
        </w:rPr>
        <w:t>with the following content</w:t>
      </w:r>
      <w:r w:rsidR="00D86080" w:rsidRPr="003101B1">
        <w:rPr>
          <w:lang w:val="en-GB" w:eastAsia="ro-MD"/>
        </w:rPr>
        <w:t>:</w:t>
      </w:r>
    </w:p>
    <w:p w14:paraId="7E9615B1" w14:textId="24785330" w:rsidR="00D86080" w:rsidRPr="003101B1" w:rsidRDefault="008B672E" w:rsidP="00D86080">
      <w:pPr>
        <w:jc w:val="both"/>
        <w:rPr>
          <w:lang w:val="en-GB" w:eastAsia="ro-MD"/>
        </w:rPr>
      </w:pPr>
      <w:r w:rsidRPr="003101B1">
        <w:rPr>
          <w:lang w:val="en-GB" w:eastAsia="ro-MD"/>
        </w:rPr>
        <w:t>“</w:t>
      </w:r>
      <w:r w:rsidR="00D86080" w:rsidRPr="003101B1">
        <w:rPr>
          <w:lang w:val="en-GB" w:eastAsia="ro-MD"/>
        </w:rPr>
        <w:t xml:space="preserve">5) </w:t>
      </w:r>
      <w:r w:rsidR="00717ED9" w:rsidRPr="003101B1">
        <w:rPr>
          <w:lang w:val="en-GB" w:eastAsia="ro-MD"/>
        </w:rPr>
        <w:t xml:space="preserve">where the Additional Tier 1 instruments have been issued by a subsidiary undertaking established in a third country, the </w:t>
      </w:r>
      <w:r w:rsidR="00D86080" w:rsidRPr="003101B1">
        <w:rPr>
          <w:lang w:val="en-GB" w:eastAsia="ro-MD"/>
        </w:rPr>
        <w:t xml:space="preserve">6,5% </w:t>
      </w:r>
      <w:r w:rsidR="00717ED9" w:rsidRPr="003101B1">
        <w:rPr>
          <w:lang w:val="en-GB" w:eastAsia="ro-MD"/>
        </w:rPr>
        <w:t>or higher trigger referred to in </w:t>
      </w:r>
      <w:r w:rsidR="00D86080" w:rsidRPr="003101B1">
        <w:rPr>
          <w:lang w:val="en-GB" w:eastAsia="ro-MD"/>
        </w:rPr>
        <w:t>s</w:t>
      </w:r>
      <w:r w:rsidR="00717ED9" w:rsidRPr="003101B1">
        <w:rPr>
          <w:lang w:val="en-GB" w:eastAsia="ro-MD"/>
        </w:rPr>
        <w:t xml:space="preserve">ub-paragraph </w:t>
      </w:r>
      <w:r w:rsidR="00D86080" w:rsidRPr="003101B1">
        <w:rPr>
          <w:lang w:val="en-GB" w:eastAsia="ro-MD"/>
        </w:rPr>
        <w:t xml:space="preserve">1) </w:t>
      </w:r>
      <w:r w:rsidR="00717ED9" w:rsidRPr="003101B1">
        <w:rPr>
          <w:lang w:val="en-GB" w:eastAsia="ro-MD"/>
        </w:rPr>
        <w:t>be calculated in accordance with the national law of that third country or the contractual provisions governing the instruments, provided that those provisions are at least equivalent to the requirements set out in this Section</w:t>
      </w:r>
      <w:r w:rsidR="00C3555E" w:rsidRPr="003101B1">
        <w:rPr>
          <w:lang w:val="en-GB" w:eastAsia="ro-MD"/>
        </w:rPr>
        <w:t>.”.</w:t>
      </w:r>
    </w:p>
    <w:p w14:paraId="77DFA384" w14:textId="01481F01" w:rsidR="001B0C70" w:rsidRPr="003101B1" w:rsidRDefault="00717ED9" w:rsidP="00E91829">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C3555E" w:rsidRPr="003101B1">
        <w:rPr>
          <w:lang w:val="en-GB" w:eastAsia="ro-MD"/>
        </w:rPr>
        <w:t xml:space="preserve"> 81 </w:t>
      </w:r>
      <w:r w:rsidRPr="003101B1">
        <w:rPr>
          <w:lang w:val="en-GB" w:eastAsia="ro-MD"/>
        </w:rPr>
        <w:t>sub-paragraph</w:t>
      </w:r>
      <w:r w:rsidR="00C3555E" w:rsidRPr="003101B1">
        <w:rPr>
          <w:lang w:val="en-GB" w:eastAsia="ro-MD"/>
        </w:rPr>
        <w:t xml:space="preserve"> 6)</w:t>
      </w:r>
      <w:r w:rsidR="00296927" w:rsidRPr="003101B1">
        <w:rPr>
          <w:lang w:val="en-GB" w:eastAsia="ro-MD"/>
        </w:rPr>
        <w:t>,</w:t>
      </w:r>
      <w:r w:rsidR="00C3555E" w:rsidRPr="003101B1">
        <w:rPr>
          <w:lang w:val="en-GB" w:eastAsia="ro-MD"/>
        </w:rPr>
        <w:t xml:space="preserve"> </w:t>
      </w:r>
      <w:r w:rsidRPr="003101B1">
        <w:rPr>
          <w:lang w:val="en-GB" w:eastAsia="ro-MD"/>
        </w:rPr>
        <w:t>the text</w:t>
      </w:r>
      <w:r w:rsidR="00C3555E" w:rsidRPr="003101B1">
        <w:rPr>
          <w:lang w:val="en-GB" w:eastAsia="ro-MD"/>
        </w:rPr>
        <w:t xml:space="preserve"> </w:t>
      </w:r>
      <w:r w:rsidRPr="003101B1">
        <w:rPr>
          <w:lang w:val="en-GB" w:eastAsia="ro-MD"/>
        </w:rPr>
        <w:t>“</w:t>
      </w:r>
      <w:r w:rsidRPr="003101B1">
        <w:rPr>
          <w:lang w:val="en-GB"/>
        </w:rPr>
        <w:t>No 110 of 24 May 2018</w:t>
      </w:r>
      <w:r w:rsidR="00C3555E" w:rsidRPr="003101B1">
        <w:rPr>
          <w:lang w:val="en-GB" w:eastAsia="ro-MD"/>
        </w:rPr>
        <w:t xml:space="preserve">” </w:t>
      </w:r>
      <w:r w:rsidRPr="003101B1">
        <w:rPr>
          <w:lang w:val="en-GB" w:eastAsia="ro-MD"/>
        </w:rPr>
        <w:t>shall be replaced with the text</w:t>
      </w:r>
      <w:r w:rsidR="00C3555E" w:rsidRPr="003101B1">
        <w:rPr>
          <w:lang w:val="en-GB" w:eastAsia="ro-MD"/>
        </w:rPr>
        <w:t xml:space="preserve"> </w:t>
      </w:r>
      <w:r w:rsidRPr="003101B1">
        <w:rPr>
          <w:lang w:val="en-GB" w:eastAsia="ro-MD"/>
        </w:rPr>
        <w:t xml:space="preserve">“No </w:t>
      </w:r>
      <w:r w:rsidR="00C3555E" w:rsidRPr="003101B1">
        <w:rPr>
          <w:lang w:val="en-GB" w:eastAsia="ro-MD"/>
        </w:rPr>
        <w:t>110/2018”.</w:t>
      </w:r>
    </w:p>
    <w:p w14:paraId="4208BFB0" w14:textId="0BC43E74" w:rsidR="001B0C70" w:rsidRPr="003101B1" w:rsidRDefault="00717ED9" w:rsidP="00E91829">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C3555E" w:rsidRPr="003101B1">
        <w:rPr>
          <w:lang w:val="en-GB" w:eastAsia="ro-MD"/>
        </w:rPr>
        <w:t xml:space="preserve"> 90</w:t>
      </w:r>
      <w:r w:rsidR="001B0C70" w:rsidRPr="003101B1">
        <w:rPr>
          <w:lang w:val="en-GB" w:eastAsia="ro-MD"/>
        </w:rPr>
        <w:t xml:space="preserve"> sub</w:t>
      </w:r>
      <w:r w:rsidRPr="003101B1">
        <w:rPr>
          <w:lang w:val="en-GB" w:eastAsia="ro-MD"/>
        </w:rPr>
        <w:t>-paragraph</w:t>
      </w:r>
      <w:r w:rsidR="001B0C70" w:rsidRPr="003101B1">
        <w:rPr>
          <w:lang w:val="en-GB" w:eastAsia="ro-MD"/>
        </w:rPr>
        <w:t xml:space="preserve"> 1) l</w:t>
      </w:r>
      <w:r w:rsidRPr="003101B1">
        <w:rPr>
          <w:lang w:val="en-GB" w:eastAsia="ro-MD"/>
        </w:rPr>
        <w:t>etter</w:t>
      </w:r>
      <w:r w:rsidR="001B0C70" w:rsidRPr="003101B1">
        <w:rPr>
          <w:lang w:val="en-GB" w:eastAsia="ro-MD"/>
        </w:rPr>
        <w:t xml:space="preserve"> a) </w:t>
      </w:r>
      <w:r w:rsidRPr="003101B1">
        <w:rPr>
          <w:lang w:val="en-GB" w:eastAsia="ro-MD"/>
        </w:rPr>
        <w:t>shall read as follows</w:t>
      </w:r>
      <w:r w:rsidR="001B0C70" w:rsidRPr="003101B1">
        <w:rPr>
          <w:lang w:val="en-GB" w:eastAsia="ro-MD"/>
        </w:rPr>
        <w:t>:</w:t>
      </w:r>
    </w:p>
    <w:p w14:paraId="217A0DE0" w14:textId="3698B42A" w:rsidR="001B0C70" w:rsidRPr="003101B1" w:rsidRDefault="00717ED9" w:rsidP="001B0C70">
      <w:pPr>
        <w:jc w:val="both"/>
        <w:rPr>
          <w:lang w:val="en-GB" w:eastAsia="ro-MD"/>
        </w:rPr>
      </w:pPr>
      <w:r w:rsidRPr="003101B1">
        <w:rPr>
          <w:lang w:val="en-GB" w:eastAsia="ro-MD"/>
        </w:rPr>
        <w:t>“</w:t>
      </w:r>
      <w:r w:rsidR="001B0C70" w:rsidRPr="003101B1">
        <w:rPr>
          <w:lang w:val="en-GB" w:eastAsia="ro-MD"/>
        </w:rPr>
        <w:t xml:space="preserve">a) </w:t>
      </w:r>
      <w:r w:rsidR="00235F7E" w:rsidRPr="003101B1">
        <w:rPr>
          <w:lang w:val="en-GB" w:eastAsia="ro-MD"/>
        </w:rPr>
        <w:t>the maturity date of the short position is either the same as or later than the maturity date of the long position or the residual maturity of the short position is at least one year</w:t>
      </w:r>
      <w:r w:rsidR="001B0C70" w:rsidRPr="003101B1">
        <w:rPr>
          <w:lang w:val="en-GB" w:eastAsia="ro-MD"/>
        </w:rPr>
        <w:t>;”.</w:t>
      </w:r>
    </w:p>
    <w:p w14:paraId="0EB71F28" w14:textId="2CD619C9" w:rsidR="00481E82" w:rsidRPr="003101B1" w:rsidRDefault="00010190" w:rsidP="00E91829">
      <w:pPr>
        <w:pStyle w:val="ListParagraph"/>
        <w:numPr>
          <w:ilvl w:val="1"/>
          <w:numId w:val="27"/>
        </w:numPr>
        <w:spacing w:before="80"/>
        <w:ind w:left="0" w:firstLine="568"/>
        <w:contextualSpacing w:val="0"/>
        <w:jc w:val="both"/>
        <w:rPr>
          <w:lang w:val="en-GB" w:eastAsia="ro-MD"/>
        </w:rPr>
      </w:pPr>
      <w:r w:rsidRPr="003101B1">
        <w:rPr>
          <w:lang w:val="en-GB" w:eastAsia="ro-MD"/>
        </w:rPr>
        <w:t>In paragraph</w:t>
      </w:r>
      <w:r w:rsidR="00773B3D" w:rsidRPr="003101B1">
        <w:rPr>
          <w:lang w:val="en-GB" w:eastAsia="ro-MD"/>
        </w:rPr>
        <w:t xml:space="preserve"> 91 sub</w:t>
      </w:r>
      <w:r w:rsidRPr="003101B1">
        <w:rPr>
          <w:lang w:val="en-GB" w:eastAsia="ro-MD"/>
        </w:rPr>
        <w:t>-paragraph</w:t>
      </w:r>
      <w:r w:rsidR="00773B3D" w:rsidRPr="003101B1">
        <w:rPr>
          <w:lang w:val="en-GB" w:eastAsia="ro-MD"/>
        </w:rPr>
        <w:t xml:space="preserve"> 1):</w:t>
      </w:r>
    </w:p>
    <w:p w14:paraId="3147B2E8" w14:textId="490A8F70" w:rsidR="00481E82" w:rsidRPr="003101B1" w:rsidRDefault="009B5FCE" w:rsidP="00FF10CA">
      <w:pPr>
        <w:pStyle w:val="ListParagraph"/>
        <w:numPr>
          <w:ilvl w:val="2"/>
          <w:numId w:val="27"/>
        </w:numPr>
        <w:ind w:left="0" w:firstLine="568"/>
        <w:jc w:val="both"/>
        <w:rPr>
          <w:lang w:val="en-GB" w:eastAsia="ro-MD"/>
        </w:rPr>
      </w:pPr>
      <w:r w:rsidRPr="003101B1">
        <w:rPr>
          <w:lang w:val="en-GB" w:eastAsia="ro-MD"/>
        </w:rPr>
        <w:t>in</w:t>
      </w:r>
      <w:r w:rsidR="00235F7E" w:rsidRPr="003101B1">
        <w:rPr>
          <w:lang w:val="en-GB" w:eastAsia="ro-MD"/>
        </w:rPr>
        <w:t xml:space="preserve"> letter</w:t>
      </w:r>
      <w:r w:rsidR="00773B3D" w:rsidRPr="003101B1">
        <w:rPr>
          <w:lang w:val="en-GB" w:eastAsia="ro-MD"/>
        </w:rPr>
        <w:t xml:space="preserve"> a)</w:t>
      </w:r>
      <w:r w:rsidR="00831DDD" w:rsidRPr="003101B1">
        <w:rPr>
          <w:lang w:val="en-GB" w:eastAsia="ro-MD"/>
        </w:rPr>
        <w:t>,</w:t>
      </w:r>
      <w:r w:rsidR="00773B3D" w:rsidRPr="003101B1">
        <w:rPr>
          <w:lang w:val="en-GB" w:eastAsia="ro-MD"/>
        </w:rPr>
        <w:t xml:space="preserve"> </w:t>
      </w:r>
      <w:r w:rsidR="00235F7E" w:rsidRPr="003101B1">
        <w:rPr>
          <w:lang w:val="en-GB" w:eastAsia="ro-MD"/>
        </w:rPr>
        <w:t>the text</w:t>
      </w:r>
      <w:r w:rsidR="00112722" w:rsidRPr="003101B1">
        <w:rPr>
          <w:lang w:val="en-GB" w:eastAsia="ro-MD"/>
        </w:rPr>
        <w:t xml:space="preserve"> </w:t>
      </w:r>
      <w:r w:rsidR="00235F7E" w:rsidRPr="003101B1">
        <w:rPr>
          <w:lang w:val="en-GB" w:eastAsia="ro-MD"/>
        </w:rPr>
        <w:t>“</w:t>
      </w:r>
      <w:r w:rsidR="00112722" w:rsidRPr="003101B1">
        <w:rPr>
          <w:lang w:val="en-GB" w:eastAsia="ro-MD"/>
        </w:rPr>
        <w:t>p</w:t>
      </w:r>
      <w:r w:rsidR="00235F7E" w:rsidRPr="003101B1">
        <w:rPr>
          <w:lang w:val="en-GB" w:eastAsia="ro-MD"/>
        </w:rPr>
        <w:t>aragraphs</w:t>
      </w:r>
      <w:r w:rsidR="00112722" w:rsidRPr="003101B1">
        <w:rPr>
          <w:lang w:val="en-GB" w:eastAsia="ro-MD"/>
        </w:rPr>
        <w:t xml:space="preserve"> </w:t>
      </w:r>
      <w:r w:rsidR="00773B3D" w:rsidRPr="003101B1">
        <w:rPr>
          <w:lang w:val="en-GB" w:eastAsia="ro-MD"/>
        </w:rPr>
        <w:t>26</w:t>
      </w:r>
      <w:r w:rsidR="00112722" w:rsidRPr="003101B1">
        <w:rPr>
          <w:lang w:val="en-GB" w:eastAsia="ro-MD"/>
        </w:rPr>
        <w:t>-29</w:t>
      </w:r>
      <w:r w:rsidR="00773B3D" w:rsidRPr="003101B1">
        <w:rPr>
          <w:lang w:val="en-GB" w:eastAsia="ro-MD"/>
        </w:rPr>
        <w:t xml:space="preserve">” </w:t>
      </w:r>
      <w:r w:rsidR="00235F7E" w:rsidRPr="003101B1">
        <w:rPr>
          <w:lang w:val="en-GB" w:eastAsia="ro-MD"/>
        </w:rPr>
        <w:t>shall be replaced with the text</w:t>
      </w:r>
      <w:r w:rsidR="00112722" w:rsidRPr="003101B1">
        <w:rPr>
          <w:lang w:val="en-GB" w:eastAsia="ro-MD"/>
        </w:rPr>
        <w:t xml:space="preserve"> </w:t>
      </w:r>
      <w:r w:rsidR="00235F7E" w:rsidRPr="003101B1">
        <w:rPr>
          <w:lang w:val="en-GB" w:eastAsia="ro-MD"/>
        </w:rPr>
        <w:t>“</w:t>
      </w:r>
      <w:r w:rsidR="00773B3D" w:rsidRPr="003101B1">
        <w:rPr>
          <w:lang w:val="en-GB" w:eastAsia="ro-MD"/>
        </w:rPr>
        <w:t>25</w:t>
      </w:r>
      <w:r w:rsidR="00773B3D" w:rsidRPr="003101B1">
        <w:rPr>
          <w:vertAlign w:val="superscript"/>
          <w:lang w:val="en-GB" w:eastAsia="ro-MD"/>
        </w:rPr>
        <w:t>1</w:t>
      </w:r>
      <w:r w:rsidR="00112722" w:rsidRPr="003101B1">
        <w:rPr>
          <w:lang w:val="en-GB" w:eastAsia="ro-MD"/>
        </w:rPr>
        <w:t>-29</w:t>
      </w:r>
      <w:r w:rsidR="00773B3D" w:rsidRPr="003101B1">
        <w:rPr>
          <w:lang w:val="en-GB" w:eastAsia="ro-MD"/>
        </w:rPr>
        <w:t>”;</w:t>
      </w:r>
    </w:p>
    <w:p w14:paraId="0DAFBDE1" w14:textId="152007BD" w:rsidR="00773B3D" w:rsidRPr="003101B1" w:rsidRDefault="009B5FCE" w:rsidP="00FF10CA">
      <w:pPr>
        <w:pStyle w:val="ListParagraph"/>
        <w:numPr>
          <w:ilvl w:val="2"/>
          <w:numId w:val="27"/>
        </w:numPr>
        <w:ind w:left="0" w:firstLine="568"/>
        <w:jc w:val="both"/>
        <w:rPr>
          <w:lang w:val="en-GB" w:eastAsia="ro-MD"/>
        </w:rPr>
      </w:pPr>
      <w:r w:rsidRPr="003101B1">
        <w:rPr>
          <w:lang w:val="en-GB" w:eastAsia="ro-MD"/>
        </w:rPr>
        <w:t>in</w:t>
      </w:r>
      <w:r w:rsidR="00235F7E" w:rsidRPr="003101B1">
        <w:rPr>
          <w:lang w:val="en-GB" w:eastAsia="ro-MD"/>
        </w:rPr>
        <w:t xml:space="preserve"> letter</w:t>
      </w:r>
      <w:r w:rsidR="00773B3D" w:rsidRPr="003101B1">
        <w:rPr>
          <w:lang w:val="en-GB" w:eastAsia="ro-MD"/>
        </w:rPr>
        <w:t xml:space="preserve"> b)</w:t>
      </w:r>
      <w:r w:rsidR="00831DDD" w:rsidRPr="003101B1">
        <w:rPr>
          <w:lang w:val="en-GB" w:eastAsia="ro-MD"/>
        </w:rPr>
        <w:t>,</w:t>
      </w:r>
      <w:r w:rsidR="00773B3D" w:rsidRPr="003101B1">
        <w:rPr>
          <w:lang w:val="en-GB" w:eastAsia="ro-MD"/>
        </w:rPr>
        <w:t xml:space="preserve"> t</w:t>
      </w:r>
      <w:r w:rsidR="00235F7E" w:rsidRPr="003101B1">
        <w:rPr>
          <w:lang w:val="en-GB" w:eastAsia="ro-MD"/>
        </w:rPr>
        <w:t>he text</w:t>
      </w:r>
      <w:r w:rsidR="00773B3D" w:rsidRPr="003101B1">
        <w:rPr>
          <w:lang w:val="en-GB" w:eastAsia="ro-MD"/>
        </w:rPr>
        <w:t xml:space="preserve"> </w:t>
      </w:r>
      <w:r w:rsidR="00D174BA" w:rsidRPr="003101B1">
        <w:rPr>
          <w:lang w:val="en-GB" w:eastAsia="ro-MD"/>
        </w:rPr>
        <w:t>“</w:t>
      </w:r>
      <w:r w:rsidR="00773B3D" w:rsidRPr="003101B1">
        <w:rPr>
          <w:lang w:val="en-GB" w:eastAsia="ro-MD"/>
        </w:rPr>
        <w:t xml:space="preserve">10) </w:t>
      </w:r>
      <w:r w:rsidR="00D174BA" w:rsidRPr="003101B1">
        <w:rPr>
          <w:lang w:val="en-GB" w:eastAsia="ro-MD"/>
        </w:rPr>
        <w:t>and</w:t>
      </w:r>
      <w:r w:rsidR="00773B3D" w:rsidRPr="003101B1">
        <w:rPr>
          <w:lang w:val="en-GB" w:eastAsia="ro-MD"/>
        </w:rPr>
        <w:t xml:space="preserve"> 11)” </w:t>
      </w:r>
      <w:r w:rsidR="00D174BA" w:rsidRPr="003101B1">
        <w:rPr>
          <w:lang w:val="en-GB" w:eastAsia="ro-MD"/>
        </w:rPr>
        <w:t>shall be replaced with the text “</w:t>
      </w:r>
      <w:r w:rsidR="00773B3D" w:rsidRPr="003101B1">
        <w:rPr>
          <w:lang w:val="en-GB" w:eastAsia="ro-MD"/>
        </w:rPr>
        <w:t xml:space="preserve">10) </w:t>
      </w:r>
      <w:r w:rsidR="00D174BA" w:rsidRPr="003101B1">
        <w:rPr>
          <w:lang w:val="en-GB" w:eastAsia="ro-MD"/>
        </w:rPr>
        <w:t>letter</w:t>
      </w:r>
      <w:r w:rsidR="00773B3D" w:rsidRPr="003101B1">
        <w:rPr>
          <w:lang w:val="en-GB" w:eastAsia="ro-MD"/>
        </w:rPr>
        <w:t xml:space="preserve"> b) - e) </w:t>
      </w:r>
      <w:r w:rsidR="00D174BA" w:rsidRPr="003101B1">
        <w:rPr>
          <w:lang w:val="en-GB" w:eastAsia="ro-MD"/>
        </w:rPr>
        <w:t>and</w:t>
      </w:r>
      <w:r w:rsidR="00773B3D" w:rsidRPr="003101B1">
        <w:rPr>
          <w:lang w:val="en-GB" w:eastAsia="ro-MD"/>
        </w:rPr>
        <w:t xml:space="preserve"> 11) - 13)”.</w:t>
      </w:r>
    </w:p>
    <w:p w14:paraId="7A21972D" w14:textId="6431D082" w:rsidR="00773B3D" w:rsidRPr="003101B1" w:rsidRDefault="00773B3D" w:rsidP="00E91829">
      <w:pPr>
        <w:pStyle w:val="ListParagraph"/>
        <w:numPr>
          <w:ilvl w:val="1"/>
          <w:numId w:val="27"/>
        </w:numPr>
        <w:spacing w:before="80"/>
        <w:ind w:left="0" w:firstLine="568"/>
        <w:contextualSpacing w:val="0"/>
        <w:rPr>
          <w:lang w:val="en-GB" w:eastAsia="ro-MD"/>
        </w:rPr>
      </w:pPr>
      <w:r w:rsidRPr="003101B1">
        <w:rPr>
          <w:lang w:val="en-GB" w:eastAsia="ro-MD"/>
        </w:rPr>
        <w:t xml:space="preserve"> </w:t>
      </w:r>
      <w:r w:rsidR="00D174BA" w:rsidRPr="003101B1">
        <w:rPr>
          <w:lang w:val="en-GB" w:eastAsia="ro-MD"/>
        </w:rPr>
        <w:t>In paragraph</w:t>
      </w:r>
      <w:r w:rsidRPr="003101B1">
        <w:rPr>
          <w:lang w:val="en-GB" w:eastAsia="ro-MD"/>
        </w:rPr>
        <w:t xml:space="preserve"> 96:</w:t>
      </w:r>
    </w:p>
    <w:p w14:paraId="0579403B" w14:textId="1EF740A2" w:rsidR="00C3555E" w:rsidRPr="003101B1" w:rsidRDefault="00D174BA" w:rsidP="00FF10CA">
      <w:pPr>
        <w:pStyle w:val="ListParagraph"/>
        <w:numPr>
          <w:ilvl w:val="2"/>
          <w:numId w:val="27"/>
        </w:numPr>
        <w:ind w:left="0" w:firstLine="567"/>
        <w:jc w:val="both"/>
        <w:rPr>
          <w:b/>
          <w:bCs/>
          <w:lang w:val="en-GB" w:eastAsia="ro-MD"/>
        </w:rPr>
      </w:pPr>
      <w:r w:rsidRPr="003101B1">
        <w:rPr>
          <w:lang w:val="en-GB" w:eastAsia="ro-MD"/>
        </w:rPr>
        <w:t>s</w:t>
      </w:r>
      <w:r w:rsidR="00773B3D" w:rsidRPr="003101B1">
        <w:rPr>
          <w:lang w:val="en-GB" w:eastAsia="ro-MD"/>
        </w:rPr>
        <w:t>ub</w:t>
      </w:r>
      <w:r w:rsidRPr="003101B1">
        <w:rPr>
          <w:lang w:val="en-GB" w:eastAsia="ro-MD"/>
        </w:rPr>
        <w:t>-paragraph</w:t>
      </w:r>
      <w:r w:rsidR="00773B3D" w:rsidRPr="003101B1">
        <w:rPr>
          <w:lang w:val="en-GB" w:eastAsia="ro-MD"/>
        </w:rPr>
        <w:t xml:space="preserve"> 1) </w:t>
      </w:r>
      <w:r w:rsidRPr="003101B1">
        <w:rPr>
          <w:lang w:val="en-GB" w:eastAsia="ro-MD"/>
        </w:rPr>
        <w:t>shall be supplemented with the text</w:t>
      </w:r>
      <w:r w:rsidR="00773B3D" w:rsidRPr="003101B1">
        <w:rPr>
          <w:lang w:val="en-GB" w:eastAsia="ro-MD"/>
        </w:rPr>
        <w:t xml:space="preserve"> </w:t>
      </w:r>
      <w:r w:rsidRPr="003101B1">
        <w:rPr>
          <w:lang w:val="en-GB" w:eastAsia="ro-MD"/>
        </w:rPr>
        <w:t>“and to the extent specified in paragraph 98</w:t>
      </w:r>
      <w:r w:rsidR="00753EA8" w:rsidRPr="003101B1">
        <w:rPr>
          <w:lang w:val="en-GB" w:eastAsia="ro-MD"/>
        </w:rPr>
        <w:t>”;</w:t>
      </w:r>
    </w:p>
    <w:p w14:paraId="5C6B1A31" w14:textId="5DF491FF" w:rsidR="00753EA8" w:rsidRPr="003101B1" w:rsidRDefault="00D174BA" w:rsidP="00FF10CA">
      <w:pPr>
        <w:pStyle w:val="ListParagraph"/>
        <w:numPr>
          <w:ilvl w:val="2"/>
          <w:numId w:val="27"/>
        </w:numPr>
        <w:ind w:left="0" w:firstLine="567"/>
        <w:jc w:val="both"/>
        <w:rPr>
          <w:b/>
          <w:bCs/>
          <w:lang w:val="en-GB" w:eastAsia="ro-MD"/>
        </w:rPr>
      </w:pPr>
      <w:r w:rsidRPr="003101B1">
        <w:rPr>
          <w:lang w:val="en-GB" w:eastAsia="ro-MD"/>
        </w:rPr>
        <w:t>sub-paragraph</w:t>
      </w:r>
      <w:r w:rsidR="00753EA8" w:rsidRPr="003101B1">
        <w:rPr>
          <w:lang w:val="en-GB" w:eastAsia="ro-MD"/>
        </w:rPr>
        <w:t xml:space="preserve"> 4) </w:t>
      </w:r>
      <w:r w:rsidRPr="003101B1">
        <w:rPr>
          <w:lang w:val="en-GB" w:eastAsia="ro-MD"/>
        </w:rPr>
        <w:t>shall be added with the following content</w:t>
      </w:r>
      <w:r w:rsidR="00753EA8" w:rsidRPr="003101B1">
        <w:rPr>
          <w:lang w:val="en-GB" w:eastAsia="ro-MD"/>
        </w:rPr>
        <w:t>:</w:t>
      </w:r>
    </w:p>
    <w:p w14:paraId="50CE7398" w14:textId="4D6DCF28" w:rsidR="00753EA8" w:rsidRPr="003101B1" w:rsidRDefault="00010190" w:rsidP="00DF57A5">
      <w:pPr>
        <w:jc w:val="both"/>
        <w:rPr>
          <w:lang w:val="en-GB" w:eastAsia="ro-MD"/>
        </w:rPr>
      </w:pPr>
      <w:r w:rsidRPr="003101B1">
        <w:rPr>
          <w:lang w:val="en-GB" w:eastAsia="ro-MD"/>
        </w:rPr>
        <w:t>“</w:t>
      </w:r>
      <w:r w:rsidR="00753EA8" w:rsidRPr="003101B1">
        <w:rPr>
          <w:lang w:val="en-GB" w:eastAsia="ro-MD"/>
        </w:rPr>
        <w:t>4)</w:t>
      </w:r>
      <w:r w:rsidR="00E97068" w:rsidRPr="003101B1">
        <w:rPr>
          <w:lang w:val="en-GB" w:eastAsia="ro-MD"/>
        </w:rPr>
        <w:t xml:space="preserve"> </w:t>
      </w:r>
      <w:r w:rsidR="00D174BA" w:rsidRPr="003101B1">
        <w:rPr>
          <w:lang w:val="en-GB" w:eastAsia="ro-MD"/>
        </w:rPr>
        <w:t xml:space="preserve">IRB excess, before tax where applicable, of up to 0.6 % of risk-weighted exposure amounts calculated in accordance </w:t>
      </w:r>
      <w:r w:rsidR="008E2C25" w:rsidRPr="003101B1">
        <w:rPr>
          <w:lang w:val="en-GB" w:eastAsia="ro-MD"/>
        </w:rPr>
        <w:t>with the normative act of the National Bank of Moldova regarding the treatment of credit risk under the internal ratings-based approach, for banks that calculate risk-weighted exposure amounts in accordance with the Internal Ratings Based Approach</w:t>
      </w:r>
      <w:r w:rsidR="00753EA8" w:rsidRPr="003101B1">
        <w:rPr>
          <w:lang w:val="en-GB" w:eastAsia="ro-MD"/>
        </w:rPr>
        <w:t>.”</w:t>
      </w:r>
      <w:r w:rsidR="00DF57A5" w:rsidRPr="003101B1">
        <w:rPr>
          <w:lang w:val="en-GB" w:eastAsia="ro-MD"/>
        </w:rPr>
        <w:t>.</w:t>
      </w:r>
    </w:p>
    <w:p w14:paraId="29512EE2" w14:textId="36F1BF1E" w:rsidR="00753EA8" w:rsidRPr="003101B1" w:rsidRDefault="008E2C25" w:rsidP="00E97068">
      <w:pPr>
        <w:pStyle w:val="ListParagraph"/>
        <w:numPr>
          <w:ilvl w:val="1"/>
          <w:numId w:val="27"/>
        </w:numPr>
        <w:spacing w:before="80"/>
        <w:ind w:left="0" w:firstLine="567"/>
        <w:contextualSpacing w:val="0"/>
        <w:rPr>
          <w:lang w:val="en-GB" w:eastAsia="ro-MD"/>
        </w:rPr>
      </w:pPr>
      <w:r w:rsidRPr="003101B1">
        <w:rPr>
          <w:lang w:val="en-GB" w:eastAsia="ro-MD"/>
        </w:rPr>
        <w:t>Paragraph</w:t>
      </w:r>
      <w:r w:rsidR="00753EA8" w:rsidRPr="003101B1">
        <w:rPr>
          <w:lang w:val="en-GB" w:eastAsia="ro-MD"/>
        </w:rPr>
        <w:t xml:space="preserve"> 96</w:t>
      </w:r>
      <w:r w:rsidR="00753EA8" w:rsidRPr="003101B1">
        <w:rPr>
          <w:vertAlign w:val="superscript"/>
          <w:lang w:val="en-GB" w:eastAsia="ro-MD"/>
        </w:rPr>
        <w:t>1</w:t>
      </w:r>
      <w:r w:rsidR="00753EA8" w:rsidRPr="003101B1">
        <w:rPr>
          <w:lang w:val="en-GB" w:eastAsia="ro-MD"/>
        </w:rPr>
        <w:t xml:space="preserve"> </w:t>
      </w:r>
      <w:r w:rsidRPr="003101B1">
        <w:rPr>
          <w:lang w:val="en-GB" w:eastAsia="ro-MD"/>
        </w:rPr>
        <w:t>shall be added with the following content</w:t>
      </w:r>
      <w:r w:rsidR="00753EA8" w:rsidRPr="003101B1">
        <w:rPr>
          <w:lang w:val="en-GB" w:eastAsia="ro-MD"/>
        </w:rPr>
        <w:t>:</w:t>
      </w:r>
    </w:p>
    <w:p w14:paraId="2C691146" w14:textId="535B11DD" w:rsidR="00753EA8" w:rsidRPr="003101B1" w:rsidRDefault="008E2C25" w:rsidP="00E97068">
      <w:pPr>
        <w:jc w:val="both"/>
        <w:rPr>
          <w:lang w:val="en-GB" w:eastAsia="ro-MD"/>
        </w:rPr>
      </w:pPr>
      <w:r w:rsidRPr="003101B1">
        <w:rPr>
          <w:lang w:val="en-GB" w:eastAsia="ro-MD"/>
        </w:rPr>
        <w:t>“</w:t>
      </w:r>
      <w:r w:rsidR="00753EA8" w:rsidRPr="003101B1">
        <w:rPr>
          <w:b/>
          <w:bCs/>
          <w:lang w:val="en-GB" w:eastAsia="ro-MD"/>
        </w:rPr>
        <w:t>96</w:t>
      </w:r>
      <w:r w:rsidR="00753EA8" w:rsidRPr="003101B1">
        <w:rPr>
          <w:b/>
          <w:bCs/>
          <w:vertAlign w:val="superscript"/>
          <w:lang w:val="en-GB" w:eastAsia="ro-MD"/>
        </w:rPr>
        <w:t>1</w:t>
      </w:r>
      <w:r w:rsidR="00753EA8" w:rsidRPr="003101B1">
        <w:rPr>
          <w:b/>
          <w:bCs/>
          <w:lang w:val="en-GB" w:eastAsia="ro-MD"/>
        </w:rPr>
        <w:t>.</w:t>
      </w:r>
      <w:r w:rsidR="00753EA8" w:rsidRPr="003101B1">
        <w:rPr>
          <w:lang w:val="en-GB" w:eastAsia="ro-MD"/>
        </w:rPr>
        <w:t xml:space="preserve"> </w:t>
      </w:r>
      <w:r w:rsidRPr="003101B1">
        <w:rPr>
          <w:lang w:val="en-GB" w:eastAsia="ro-MD"/>
        </w:rPr>
        <w:t>Instruments included in paragraph 96 sub-paragraph 1) shall not qualify as Common Equity Tier 1 or Additional Tier 1 items</w:t>
      </w:r>
      <w:r w:rsidR="00753EA8" w:rsidRPr="003101B1">
        <w:rPr>
          <w:lang w:val="en-GB" w:eastAsia="ro-MD"/>
        </w:rPr>
        <w:t>.”.</w:t>
      </w:r>
    </w:p>
    <w:p w14:paraId="43EBD408" w14:textId="3A108189" w:rsidR="00753EA8" w:rsidRPr="003101B1" w:rsidRDefault="008E2C25" w:rsidP="00E97068">
      <w:pPr>
        <w:pStyle w:val="ListParagraph"/>
        <w:numPr>
          <w:ilvl w:val="1"/>
          <w:numId w:val="27"/>
        </w:numPr>
        <w:spacing w:before="80"/>
        <w:ind w:left="0" w:firstLine="567"/>
        <w:contextualSpacing w:val="0"/>
        <w:rPr>
          <w:lang w:val="en-GB" w:eastAsia="ro-MD"/>
        </w:rPr>
      </w:pPr>
      <w:r w:rsidRPr="003101B1">
        <w:rPr>
          <w:lang w:val="en-GB" w:eastAsia="ro-MD"/>
        </w:rPr>
        <w:t>Paragraph</w:t>
      </w:r>
      <w:r w:rsidR="00753EA8" w:rsidRPr="003101B1">
        <w:rPr>
          <w:lang w:val="en-GB" w:eastAsia="ro-MD"/>
        </w:rPr>
        <w:t xml:space="preserve"> 97:</w:t>
      </w:r>
    </w:p>
    <w:p w14:paraId="1EBE03C3" w14:textId="76AA6E0A" w:rsidR="009932C7" w:rsidRPr="003101B1" w:rsidRDefault="00753EA8" w:rsidP="00FF10CA">
      <w:pPr>
        <w:pStyle w:val="ListParagraph"/>
        <w:numPr>
          <w:ilvl w:val="2"/>
          <w:numId w:val="27"/>
        </w:numPr>
        <w:ind w:left="0" w:firstLine="567"/>
        <w:rPr>
          <w:lang w:val="en-GB" w:eastAsia="ro-MD"/>
        </w:rPr>
      </w:pPr>
      <w:r w:rsidRPr="003101B1">
        <w:rPr>
          <w:lang w:val="en-GB" w:eastAsia="ro-MD"/>
        </w:rPr>
        <w:t xml:space="preserve"> </w:t>
      </w:r>
      <w:r w:rsidR="008E2C25" w:rsidRPr="003101B1">
        <w:rPr>
          <w:lang w:val="en-GB" w:eastAsia="ro-MD"/>
        </w:rPr>
        <w:t>s</w:t>
      </w:r>
      <w:r w:rsidRPr="003101B1">
        <w:rPr>
          <w:lang w:val="en-GB" w:eastAsia="ro-MD"/>
        </w:rPr>
        <w:t>ub</w:t>
      </w:r>
      <w:r w:rsidR="008E2C25" w:rsidRPr="003101B1">
        <w:rPr>
          <w:lang w:val="en-GB" w:eastAsia="ro-MD"/>
        </w:rPr>
        <w:t>-paragraph</w:t>
      </w:r>
      <w:r w:rsidRPr="003101B1">
        <w:rPr>
          <w:lang w:val="en-GB" w:eastAsia="ro-MD"/>
        </w:rPr>
        <w:t xml:space="preserve"> 1) </w:t>
      </w:r>
      <w:r w:rsidR="008E2C25" w:rsidRPr="003101B1">
        <w:rPr>
          <w:lang w:val="en-GB" w:eastAsia="ro-MD"/>
        </w:rPr>
        <w:t>shall read as follows</w:t>
      </w:r>
      <w:r w:rsidR="009932C7" w:rsidRPr="003101B1">
        <w:rPr>
          <w:lang w:val="en-GB" w:eastAsia="ro-MD"/>
        </w:rPr>
        <w:t>:</w:t>
      </w:r>
    </w:p>
    <w:p w14:paraId="674CDBC0" w14:textId="069C1C3E" w:rsidR="009932C7" w:rsidRPr="003101B1" w:rsidRDefault="008E2C25" w:rsidP="00C6746C">
      <w:pPr>
        <w:rPr>
          <w:lang w:val="en-GB" w:eastAsia="ro-MD"/>
        </w:rPr>
      </w:pPr>
      <w:r w:rsidRPr="003101B1">
        <w:rPr>
          <w:lang w:val="en-GB" w:eastAsia="ro-MD"/>
        </w:rPr>
        <w:t>“</w:t>
      </w:r>
      <w:r w:rsidR="009932C7" w:rsidRPr="003101B1">
        <w:rPr>
          <w:lang w:val="en-GB" w:eastAsia="ro-MD"/>
        </w:rPr>
        <w:t xml:space="preserve">1) </w:t>
      </w:r>
      <w:r w:rsidR="009B5FCE" w:rsidRPr="003101B1">
        <w:rPr>
          <w:lang w:val="en-GB" w:eastAsia="ro-MD"/>
        </w:rPr>
        <w:t>the instruments are issued or subordinated liabilities are, as the case may be, raised directly by a bank and fully paid up. Only the part of the capital instrument that has been fully paid up is eligible to qualify as a Tier 2 instrument</w:t>
      </w:r>
      <w:r w:rsidR="009932C7" w:rsidRPr="003101B1">
        <w:rPr>
          <w:lang w:val="en-GB" w:eastAsia="ro-MD"/>
        </w:rPr>
        <w:t>;”;</w:t>
      </w:r>
    </w:p>
    <w:p w14:paraId="24A0AFFA" w14:textId="17BA8221" w:rsidR="001236EA" w:rsidRPr="003101B1" w:rsidRDefault="009B5FCE" w:rsidP="00FF10CA">
      <w:pPr>
        <w:pStyle w:val="ListParagraph"/>
        <w:numPr>
          <w:ilvl w:val="2"/>
          <w:numId w:val="27"/>
        </w:numPr>
        <w:ind w:left="0" w:firstLine="567"/>
        <w:jc w:val="both"/>
        <w:rPr>
          <w:lang w:val="en-GB" w:eastAsia="ro-MD"/>
        </w:rPr>
      </w:pPr>
      <w:r w:rsidRPr="003101B1">
        <w:rPr>
          <w:lang w:val="en-GB" w:eastAsia="ro-MD"/>
        </w:rPr>
        <w:t>in</w:t>
      </w:r>
      <w:r w:rsidR="00976660" w:rsidRPr="003101B1">
        <w:rPr>
          <w:lang w:val="en-GB" w:eastAsia="ro-MD"/>
        </w:rPr>
        <w:t xml:space="preserve"> </w:t>
      </w:r>
      <w:r w:rsidR="009932C7" w:rsidRPr="003101B1">
        <w:rPr>
          <w:lang w:val="en-GB" w:eastAsia="ro-MD"/>
        </w:rPr>
        <w:t>sub</w:t>
      </w:r>
      <w:r w:rsidRPr="003101B1">
        <w:rPr>
          <w:lang w:val="en-GB" w:eastAsia="ro-MD"/>
        </w:rPr>
        <w:t>-paragraph</w:t>
      </w:r>
      <w:r w:rsidR="009932C7" w:rsidRPr="003101B1">
        <w:rPr>
          <w:lang w:val="en-GB" w:eastAsia="ro-MD"/>
        </w:rPr>
        <w:t>4)</w:t>
      </w:r>
      <w:r w:rsidR="00296927" w:rsidRPr="003101B1">
        <w:rPr>
          <w:lang w:val="en-GB" w:eastAsia="ro-MD"/>
        </w:rPr>
        <w:t>,</w:t>
      </w:r>
      <w:r w:rsidR="009932C7" w:rsidRPr="003101B1">
        <w:rPr>
          <w:lang w:val="en-GB" w:eastAsia="ro-MD"/>
        </w:rPr>
        <w:t xml:space="preserve"> </w:t>
      </w:r>
      <w:r w:rsidRPr="003101B1">
        <w:rPr>
          <w:lang w:val="en-GB" w:eastAsia="ro-MD"/>
        </w:rPr>
        <w:t>the words</w:t>
      </w:r>
      <w:r w:rsidR="009932C7" w:rsidRPr="003101B1">
        <w:rPr>
          <w:lang w:val="en-GB" w:eastAsia="ro-MD"/>
        </w:rPr>
        <w:t xml:space="preserve"> </w:t>
      </w:r>
      <w:r w:rsidRPr="003101B1">
        <w:rPr>
          <w:lang w:val="en-GB" w:eastAsia="ro-MD"/>
        </w:rPr>
        <w:t>“</w:t>
      </w:r>
      <w:r w:rsidRPr="003101B1">
        <w:rPr>
          <w:lang w:val="en-GB"/>
        </w:rPr>
        <w:t>entirely subordinated to the claims of all non-subordinated creditors</w:t>
      </w:r>
      <w:r w:rsidR="009932C7" w:rsidRPr="003101B1">
        <w:rPr>
          <w:lang w:val="en-GB" w:eastAsia="ro-MD"/>
        </w:rPr>
        <w:t xml:space="preserve">” </w:t>
      </w:r>
      <w:r w:rsidRPr="003101B1">
        <w:rPr>
          <w:lang w:val="en-GB" w:eastAsia="ro-MD"/>
        </w:rPr>
        <w:t>shall be replaced by the words</w:t>
      </w:r>
      <w:r w:rsidR="009932C7" w:rsidRPr="003101B1">
        <w:rPr>
          <w:lang w:val="en-GB" w:eastAsia="ro-MD"/>
        </w:rPr>
        <w:t xml:space="preserve"> </w:t>
      </w:r>
      <w:r w:rsidRPr="003101B1">
        <w:rPr>
          <w:lang w:val="en-GB" w:eastAsia="ro-MD"/>
        </w:rPr>
        <w:t>“ranking below any claim from eligible liabilities instruments</w:t>
      </w:r>
      <w:r w:rsidR="009932C7" w:rsidRPr="003101B1">
        <w:rPr>
          <w:lang w:val="en-GB" w:eastAsia="ro-MD"/>
        </w:rPr>
        <w:t>”;</w:t>
      </w:r>
    </w:p>
    <w:p w14:paraId="73AB4097" w14:textId="2BC94F73" w:rsidR="009932C7" w:rsidRPr="003101B1" w:rsidRDefault="009B5FCE" w:rsidP="00FF10CA">
      <w:pPr>
        <w:pStyle w:val="ListParagraph"/>
        <w:numPr>
          <w:ilvl w:val="2"/>
          <w:numId w:val="27"/>
        </w:numPr>
        <w:ind w:left="0" w:firstLine="567"/>
        <w:jc w:val="both"/>
        <w:rPr>
          <w:lang w:val="en-GB" w:eastAsia="ro-MD"/>
        </w:rPr>
      </w:pPr>
      <w:r w:rsidRPr="003101B1">
        <w:rPr>
          <w:lang w:val="en-GB" w:eastAsia="ro-MD"/>
        </w:rPr>
        <w:t>in sub-paragraph</w:t>
      </w:r>
      <w:r w:rsidR="009932C7" w:rsidRPr="003101B1">
        <w:rPr>
          <w:lang w:val="en-GB" w:eastAsia="ro-MD"/>
        </w:rPr>
        <w:t xml:space="preserve"> 9)</w:t>
      </w:r>
      <w:r w:rsidR="00296927" w:rsidRPr="003101B1">
        <w:rPr>
          <w:lang w:val="en-GB" w:eastAsia="ro-MD"/>
        </w:rPr>
        <w:t>,</w:t>
      </w:r>
      <w:r w:rsidR="009932C7" w:rsidRPr="003101B1">
        <w:rPr>
          <w:lang w:val="en-GB" w:eastAsia="ro-MD"/>
        </w:rPr>
        <w:t xml:space="preserve"> </w:t>
      </w:r>
      <w:r w:rsidRPr="003101B1">
        <w:rPr>
          <w:lang w:val="en-GB" w:eastAsia="ro-MD"/>
        </w:rPr>
        <w:t>the words</w:t>
      </w:r>
      <w:r w:rsidR="009932C7" w:rsidRPr="003101B1">
        <w:rPr>
          <w:lang w:val="en-GB" w:eastAsia="ro-MD"/>
        </w:rPr>
        <w:t xml:space="preserve"> </w:t>
      </w:r>
      <w:r w:rsidRPr="003101B1">
        <w:rPr>
          <w:lang w:val="en-GB" w:eastAsia="ro-MD"/>
        </w:rPr>
        <w:t>“</w:t>
      </w:r>
      <w:r w:rsidRPr="003101B1">
        <w:rPr>
          <w:lang w:val="en-GB"/>
        </w:rPr>
        <w:t>to buy or repay in advance</w:t>
      </w:r>
      <w:r w:rsidR="009932C7" w:rsidRPr="003101B1">
        <w:rPr>
          <w:lang w:val="en-GB" w:eastAsia="ro-MD"/>
        </w:rPr>
        <w:t xml:space="preserve">” </w:t>
      </w:r>
      <w:r w:rsidRPr="003101B1">
        <w:rPr>
          <w:lang w:val="en-GB" w:eastAsia="ro-MD"/>
        </w:rPr>
        <w:t>shall be replaced with the words</w:t>
      </w:r>
      <w:r w:rsidR="009932C7" w:rsidRPr="003101B1">
        <w:rPr>
          <w:lang w:val="en-GB" w:eastAsia="ro-MD"/>
        </w:rPr>
        <w:t xml:space="preserve"> </w:t>
      </w:r>
      <w:r w:rsidRPr="003101B1">
        <w:rPr>
          <w:lang w:val="en-GB" w:eastAsia="ro-MD"/>
        </w:rPr>
        <w:t>“of</w:t>
      </w:r>
      <w:r w:rsidRPr="003101B1">
        <w:rPr>
          <w:lang w:val="en-GB"/>
        </w:rPr>
        <w:t xml:space="preserve"> </w:t>
      </w:r>
      <w:r w:rsidRPr="003101B1">
        <w:rPr>
          <w:lang w:val="en-GB" w:eastAsia="ro-MD"/>
        </w:rPr>
        <w:t>early repayment, including call options</w:t>
      </w:r>
      <w:r w:rsidR="009932C7" w:rsidRPr="003101B1">
        <w:rPr>
          <w:lang w:val="en-GB" w:eastAsia="ro-MD"/>
        </w:rPr>
        <w:t>”;</w:t>
      </w:r>
    </w:p>
    <w:p w14:paraId="670B5233" w14:textId="0214D7D4" w:rsidR="009932C7" w:rsidRPr="003101B1" w:rsidRDefault="009B5FCE" w:rsidP="00FF10CA">
      <w:pPr>
        <w:pStyle w:val="ListParagraph"/>
        <w:numPr>
          <w:ilvl w:val="2"/>
          <w:numId w:val="27"/>
        </w:numPr>
        <w:ind w:left="0" w:firstLine="567"/>
        <w:jc w:val="both"/>
        <w:rPr>
          <w:lang w:val="en-GB" w:eastAsia="ro-MD"/>
        </w:rPr>
      </w:pPr>
      <w:r w:rsidRPr="003101B1">
        <w:rPr>
          <w:lang w:val="en-GB" w:eastAsia="ro-MD"/>
        </w:rPr>
        <w:t xml:space="preserve">in sub-paragraph </w:t>
      </w:r>
      <w:r w:rsidR="006B43C1" w:rsidRPr="003101B1">
        <w:rPr>
          <w:lang w:val="en-GB" w:eastAsia="ro-MD"/>
        </w:rPr>
        <w:t>10</w:t>
      </w:r>
      <w:r w:rsidRPr="003101B1">
        <w:rPr>
          <w:lang w:val="en-GB" w:eastAsia="ro-MD"/>
        </w:rPr>
        <w:t>) the words</w:t>
      </w:r>
      <w:r w:rsidR="006B43C1" w:rsidRPr="003101B1">
        <w:rPr>
          <w:lang w:val="en-GB" w:eastAsia="ro-MD"/>
        </w:rPr>
        <w:t xml:space="preserve"> </w:t>
      </w:r>
      <w:r w:rsidRPr="003101B1">
        <w:rPr>
          <w:lang w:val="en-GB" w:eastAsia="ro-MD"/>
        </w:rPr>
        <w:t>“</w:t>
      </w:r>
      <w:r w:rsidR="00553238" w:rsidRPr="003101B1">
        <w:rPr>
          <w:lang w:val="en-GB" w:eastAsia="ro-MD"/>
        </w:rPr>
        <w:t>related</w:t>
      </w:r>
      <w:r w:rsidR="006B43C1" w:rsidRPr="003101B1">
        <w:rPr>
          <w:lang w:val="en-GB" w:eastAsia="ro-MD"/>
        </w:rPr>
        <w:t xml:space="preserve">”, </w:t>
      </w:r>
      <w:r w:rsidR="00553238" w:rsidRPr="003101B1">
        <w:rPr>
          <w:lang w:val="en-GB" w:eastAsia="ro-MD"/>
        </w:rPr>
        <w:t>“</w:t>
      </w:r>
      <w:r w:rsidR="00553238" w:rsidRPr="003101B1">
        <w:rPr>
          <w:lang w:val="en-GB"/>
        </w:rPr>
        <w:t>in advance</w:t>
      </w:r>
      <w:r w:rsidR="006B43C1" w:rsidRPr="003101B1">
        <w:rPr>
          <w:lang w:val="en-GB" w:eastAsia="ro-MD"/>
        </w:rPr>
        <w:t xml:space="preserve">” </w:t>
      </w:r>
      <w:r w:rsidR="00553238" w:rsidRPr="003101B1">
        <w:rPr>
          <w:lang w:val="en-GB" w:eastAsia="ro-MD"/>
        </w:rPr>
        <w:t>and “</w:t>
      </w:r>
      <w:r w:rsidR="00553238" w:rsidRPr="003101B1">
        <w:rPr>
          <w:lang w:val="en-GB"/>
        </w:rPr>
        <w:t>or, as the case may be</w:t>
      </w:r>
      <w:r w:rsidR="006B43C1" w:rsidRPr="003101B1">
        <w:rPr>
          <w:lang w:val="en-GB" w:eastAsia="ro-MD"/>
        </w:rPr>
        <w:t>”</w:t>
      </w:r>
      <w:r w:rsidR="00976660" w:rsidRPr="003101B1">
        <w:rPr>
          <w:lang w:val="en-GB" w:eastAsia="ro-MD"/>
        </w:rPr>
        <w:t xml:space="preserve"> </w:t>
      </w:r>
      <w:r w:rsidR="00553238" w:rsidRPr="003101B1">
        <w:rPr>
          <w:lang w:val="en-GB" w:eastAsia="ro-MD"/>
        </w:rPr>
        <w:t>shall be excluded</w:t>
      </w:r>
      <w:r w:rsidR="006B43C1" w:rsidRPr="003101B1">
        <w:rPr>
          <w:lang w:val="en-GB" w:eastAsia="ro-MD"/>
        </w:rPr>
        <w:t>;</w:t>
      </w:r>
    </w:p>
    <w:p w14:paraId="08F6DDFA" w14:textId="70604C6B" w:rsidR="00C10110" w:rsidRPr="003101B1" w:rsidRDefault="0098771F" w:rsidP="00FF10CA">
      <w:pPr>
        <w:pStyle w:val="ListParagraph"/>
        <w:numPr>
          <w:ilvl w:val="2"/>
          <w:numId w:val="27"/>
        </w:numPr>
        <w:ind w:left="0" w:firstLine="567"/>
        <w:jc w:val="both"/>
        <w:rPr>
          <w:lang w:val="en-GB" w:eastAsia="ro-MD"/>
        </w:rPr>
      </w:pPr>
      <w:r w:rsidRPr="003101B1">
        <w:rPr>
          <w:lang w:val="en-GB" w:eastAsia="ro-MD"/>
        </w:rPr>
        <w:t>sub-paragraph</w:t>
      </w:r>
      <w:r w:rsidR="00C10110" w:rsidRPr="003101B1">
        <w:rPr>
          <w:lang w:val="en-GB" w:eastAsia="ro-MD"/>
        </w:rPr>
        <w:t xml:space="preserve"> 14) </w:t>
      </w:r>
      <w:r w:rsidRPr="003101B1">
        <w:rPr>
          <w:lang w:val="en-GB" w:eastAsia="ro-MD"/>
        </w:rPr>
        <w:t>shall read as follows</w:t>
      </w:r>
      <w:r w:rsidR="00C10110" w:rsidRPr="003101B1">
        <w:rPr>
          <w:lang w:val="en-GB" w:eastAsia="ro-MD"/>
        </w:rPr>
        <w:t>:</w:t>
      </w:r>
    </w:p>
    <w:p w14:paraId="6AAE0AFC" w14:textId="05104B6C" w:rsidR="00C10110" w:rsidRPr="003101B1" w:rsidRDefault="0098771F" w:rsidP="00C6746C">
      <w:pPr>
        <w:ind w:firstLine="567"/>
        <w:jc w:val="both"/>
        <w:rPr>
          <w:lang w:val="en-GB" w:eastAsia="ro-MD"/>
        </w:rPr>
      </w:pPr>
      <w:r w:rsidRPr="003101B1">
        <w:rPr>
          <w:lang w:val="en-GB" w:eastAsia="ro-MD"/>
        </w:rPr>
        <w:t>“</w:t>
      </w:r>
      <w:r w:rsidR="00C10110" w:rsidRPr="003101B1">
        <w:rPr>
          <w:lang w:val="en-GB" w:eastAsia="ro-MD"/>
        </w:rPr>
        <w:t xml:space="preserve">14) </w:t>
      </w:r>
      <w:r w:rsidRPr="003101B1">
        <w:rPr>
          <w:lang w:val="en-GB" w:eastAsia="ro-MD"/>
        </w:rPr>
        <w:t>where the issuer is established in a third country and has been designated as part of a resolution group the resolution entity of which is established in the Republic of Moldova or in a Member State of the European Union, or where the issuer is established in a Member State of the European Union, the law or contractual provisions governing the instruments require that, upon a decision by the resolution authority to exercise the write-down and conversion powers referred to in paragraphs 219 to 225 of Law No 232/2016, the principal amount of the instruments is to be written down on a permanent basis or the instruments are to be converted into Common Equity Tier 1 instruments</w:t>
      </w:r>
      <w:r w:rsidR="00C10110" w:rsidRPr="003101B1">
        <w:rPr>
          <w:lang w:val="en-GB" w:eastAsia="ro-MD"/>
        </w:rPr>
        <w:t>;”;</w:t>
      </w:r>
    </w:p>
    <w:p w14:paraId="06664C1A" w14:textId="37D8A769" w:rsidR="00C10110" w:rsidRPr="003101B1" w:rsidRDefault="0098771F" w:rsidP="00FF10CA">
      <w:pPr>
        <w:pStyle w:val="ListParagraph"/>
        <w:numPr>
          <w:ilvl w:val="2"/>
          <w:numId w:val="27"/>
        </w:numPr>
        <w:ind w:left="0" w:firstLine="567"/>
        <w:jc w:val="both"/>
        <w:rPr>
          <w:lang w:val="en-GB" w:eastAsia="ro-MD"/>
        </w:rPr>
      </w:pPr>
      <w:r w:rsidRPr="003101B1">
        <w:rPr>
          <w:lang w:val="en-GB" w:eastAsia="ro-MD"/>
        </w:rPr>
        <w:t>sub-paragraphs</w:t>
      </w:r>
      <w:r w:rsidR="00C10110" w:rsidRPr="003101B1">
        <w:rPr>
          <w:lang w:val="en-GB" w:eastAsia="ro-MD"/>
        </w:rPr>
        <w:t xml:space="preserve"> 15), 16) </w:t>
      </w:r>
      <w:r w:rsidRPr="003101B1">
        <w:rPr>
          <w:lang w:val="en-GB" w:eastAsia="ro-MD"/>
        </w:rPr>
        <w:t>and</w:t>
      </w:r>
      <w:r w:rsidR="00C10110" w:rsidRPr="003101B1">
        <w:rPr>
          <w:lang w:val="en-GB" w:eastAsia="ro-MD"/>
        </w:rPr>
        <w:t xml:space="preserve"> 17) </w:t>
      </w:r>
      <w:r w:rsidRPr="003101B1">
        <w:rPr>
          <w:lang w:val="en-GB" w:eastAsia="ro-MD"/>
        </w:rPr>
        <w:t>shall be added with the following content</w:t>
      </w:r>
      <w:r w:rsidR="00C10110" w:rsidRPr="003101B1">
        <w:rPr>
          <w:lang w:val="en-GB" w:eastAsia="ro-MD"/>
        </w:rPr>
        <w:t>:</w:t>
      </w:r>
    </w:p>
    <w:p w14:paraId="547F8D5A" w14:textId="57337B51" w:rsidR="00440718" w:rsidRPr="003101B1" w:rsidRDefault="0098771F" w:rsidP="00752FA2">
      <w:pPr>
        <w:jc w:val="both"/>
        <w:rPr>
          <w:lang w:val="en-GB" w:eastAsia="ro-MD"/>
        </w:rPr>
      </w:pPr>
      <w:r w:rsidRPr="003101B1">
        <w:rPr>
          <w:lang w:val="en-GB" w:eastAsia="ro-MD"/>
        </w:rPr>
        <w:t>“</w:t>
      </w:r>
      <w:r w:rsidR="008A44F1" w:rsidRPr="003101B1">
        <w:rPr>
          <w:lang w:val="en-GB" w:eastAsia="ro-MD"/>
        </w:rPr>
        <w:t>15</w:t>
      </w:r>
      <w:r w:rsidR="00BA47A9" w:rsidRPr="003101B1">
        <w:rPr>
          <w:lang w:val="en-GB" w:eastAsia="ro-MD"/>
        </w:rPr>
        <w:t>) where the issuer is established in a third country and has not been designated as part of a resolution group the resolution entity of which is established in a Member State of the European Union, the law or contractual provisions governing the instruments require that, upon a decision by the relevant third-country authority, the principal amount of the instruments is to be written down on a permanent basis or the instruments are to be converted into Common Equity Tier 1 instruments</w:t>
      </w:r>
      <w:r w:rsidR="008A44F1" w:rsidRPr="003101B1">
        <w:rPr>
          <w:lang w:val="en-GB" w:eastAsia="ro-MD"/>
        </w:rPr>
        <w:t>;</w:t>
      </w:r>
    </w:p>
    <w:p w14:paraId="002CFFFE" w14:textId="61B96F12" w:rsidR="002E21F7" w:rsidRPr="003101B1" w:rsidRDefault="002E21F7" w:rsidP="00752FA2">
      <w:pPr>
        <w:jc w:val="both"/>
        <w:rPr>
          <w:lang w:val="en-GB" w:eastAsia="ro-MD"/>
        </w:rPr>
      </w:pPr>
      <w:r w:rsidRPr="003101B1">
        <w:rPr>
          <w:lang w:val="en-GB" w:eastAsia="ro-MD"/>
        </w:rPr>
        <w:t xml:space="preserve">16) </w:t>
      </w:r>
      <w:r w:rsidR="00F271E6" w:rsidRPr="003101B1">
        <w:rPr>
          <w:lang w:val="en-GB" w:eastAsia="ro-MD"/>
        </w:rPr>
        <w:t>where the issuer is established in a third country and has been designated as part of a resolution group the resolution entity of which is established in the Republic of Moldova or in a Member State of the European Union, or where the issuer is established in a Member State of the European Union, the instruments may only be issued under, or be otherwise subject to the laws of a third country where, under those laws, the exercise of the write-down and conversion powers referred to in paragraphs 219 to 225 of Law No 232/2016 is effective and enforceable on the basis of statutory provisions or legally enforceable contractual provisions recognising resolution or other write-down or conversion actions</w:t>
      </w:r>
      <w:r w:rsidRPr="003101B1">
        <w:rPr>
          <w:lang w:val="en-GB" w:eastAsia="ro-MD"/>
        </w:rPr>
        <w:t>;</w:t>
      </w:r>
    </w:p>
    <w:p w14:paraId="1B49BCE8" w14:textId="3E946EA6" w:rsidR="002E21F7" w:rsidRPr="003101B1" w:rsidRDefault="002E21F7" w:rsidP="002E21F7">
      <w:pPr>
        <w:jc w:val="both"/>
        <w:rPr>
          <w:lang w:val="en-GB" w:eastAsia="ro-MD"/>
        </w:rPr>
      </w:pPr>
      <w:r w:rsidRPr="003101B1">
        <w:rPr>
          <w:lang w:val="en-GB" w:eastAsia="ro-MD"/>
        </w:rPr>
        <w:t xml:space="preserve">17) </w:t>
      </w:r>
      <w:r w:rsidR="00BA47A9" w:rsidRPr="003101B1">
        <w:rPr>
          <w:lang w:val="en-GB" w:eastAsia="ro-MD"/>
        </w:rPr>
        <w:t>the instruments are not subject to set-off or netting arrangements that would undermine their capacity to absorb losses</w:t>
      </w:r>
      <w:r w:rsidRPr="003101B1">
        <w:rPr>
          <w:lang w:val="en-GB" w:eastAsia="ro-MD"/>
        </w:rPr>
        <w:t>.”</w:t>
      </w:r>
    </w:p>
    <w:p w14:paraId="419C9357" w14:textId="5C8FE876" w:rsidR="000E2704" w:rsidRPr="003101B1" w:rsidRDefault="00BA47A9" w:rsidP="00E91829">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2E21F7" w:rsidRPr="003101B1">
        <w:rPr>
          <w:lang w:val="en-GB" w:eastAsia="ro-MD"/>
        </w:rPr>
        <w:t xml:space="preserve"> 97</w:t>
      </w:r>
      <w:r w:rsidR="002E21F7" w:rsidRPr="003101B1">
        <w:rPr>
          <w:vertAlign w:val="superscript"/>
          <w:lang w:val="en-GB" w:eastAsia="ro-MD"/>
        </w:rPr>
        <w:t>1</w:t>
      </w:r>
      <w:r w:rsidR="002E21F7" w:rsidRPr="003101B1">
        <w:rPr>
          <w:lang w:val="en-GB" w:eastAsia="ro-MD"/>
        </w:rPr>
        <w:t xml:space="preserve"> </w:t>
      </w:r>
      <w:r w:rsidRPr="003101B1">
        <w:rPr>
          <w:lang w:val="en-GB" w:eastAsia="ro-MD"/>
        </w:rPr>
        <w:t>shall be added with the following content</w:t>
      </w:r>
      <w:r w:rsidR="002E21F7" w:rsidRPr="003101B1">
        <w:rPr>
          <w:lang w:val="en-GB" w:eastAsia="ro-MD"/>
        </w:rPr>
        <w:t>:</w:t>
      </w:r>
    </w:p>
    <w:p w14:paraId="48F9AB3C" w14:textId="56653900" w:rsidR="002E21F7" w:rsidRPr="003101B1" w:rsidRDefault="00BA47A9" w:rsidP="002E21F7">
      <w:pPr>
        <w:jc w:val="both"/>
        <w:rPr>
          <w:lang w:val="en-GB" w:eastAsia="ro-MD"/>
        </w:rPr>
      </w:pPr>
      <w:r w:rsidRPr="003101B1">
        <w:rPr>
          <w:lang w:val="en-GB" w:eastAsia="ro-MD"/>
        </w:rPr>
        <w:t>“</w:t>
      </w:r>
      <w:r w:rsidR="002E21F7" w:rsidRPr="003101B1">
        <w:rPr>
          <w:b/>
          <w:bCs/>
          <w:lang w:val="en-GB" w:eastAsia="ro-MD"/>
        </w:rPr>
        <w:t>97</w:t>
      </w:r>
      <w:r w:rsidR="002E21F7" w:rsidRPr="003101B1">
        <w:rPr>
          <w:b/>
          <w:bCs/>
          <w:vertAlign w:val="superscript"/>
          <w:lang w:val="en-GB" w:eastAsia="ro-MD"/>
        </w:rPr>
        <w:t>1</w:t>
      </w:r>
      <w:r w:rsidR="002E21F7" w:rsidRPr="003101B1">
        <w:rPr>
          <w:b/>
          <w:bCs/>
          <w:lang w:val="en-GB" w:eastAsia="ro-MD"/>
        </w:rPr>
        <w:t xml:space="preserve">. </w:t>
      </w:r>
      <w:r w:rsidR="00F271E6" w:rsidRPr="003101B1">
        <w:rPr>
          <w:lang w:val="en-GB" w:eastAsia="ro-MD"/>
        </w:rPr>
        <w:t>The full amount of Tier 2 instruments with a residual maturity of more than five years shall qualify as Tier 2 items</w:t>
      </w:r>
      <w:r w:rsidR="002E21F7" w:rsidRPr="003101B1">
        <w:rPr>
          <w:lang w:val="en-GB" w:eastAsia="ro-MD"/>
        </w:rPr>
        <w:t>.”.</w:t>
      </w:r>
    </w:p>
    <w:p w14:paraId="4C4395F0" w14:textId="5EBA8D0D" w:rsidR="002E21F7" w:rsidRPr="003101B1" w:rsidRDefault="00F271E6" w:rsidP="00E91829">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2E21F7" w:rsidRPr="003101B1">
        <w:rPr>
          <w:lang w:val="en-GB" w:eastAsia="ro-MD"/>
        </w:rPr>
        <w:t xml:space="preserve"> 98 sub</w:t>
      </w:r>
      <w:r w:rsidRPr="003101B1">
        <w:rPr>
          <w:lang w:val="en-GB" w:eastAsia="ro-MD"/>
        </w:rPr>
        <w:t>-paragraph</w:t>
      </w:r>
      <w:r w:rsidR="002E21F7" w:rsidRPr="003101B1">
        <w:rPr>
          <w:lang w:val="en-GB" w:eastAsia="ro-MD"/>
        </w:rPr>
        <w:t xml:space="preserve"> 1)</w:t>
      </w:r>
      <w:r w:rsidR="00296927" w:rsidRPr="003101B1">
        <w:rPr>
          <w:lang w:val="en-GB" w:eastAsia="ro-MD"/>
        </w:rPr>
        <w:t>,</w:t>
      </w:r>
      <w:r w:rsidR="002E21F7" w:rsidRPr="003101B1">
        <w:rPr>
          <w:lang w:val="en-GB" w:eastAsia="ro-MD"/>
        </w:rPr>
        <w:t xml:space="preserve"> </w:t>
      </w:r>
      <w:r w:rsidRPr="003101B1">
        <w:rPr>
          <w:lang w:val="en-GB" w:eastAsia="ro-MD"/>
        </w:rPr>
        <w:t>the words</w:t>
      </w:r>
      <w:r w:rsidR="002E21F7" w:rsidRPr="003101B1">
        <w:rPr>
          <w:lang w:val="en-GB" w:eastAsia="ro-MD"/>
        </w:rPr>
        <w:t xml:space="preserve"> </w:t>
      </w:r>
      <w:r w:rsidRPr="003101B1">
        <w:rPr>
          <w:lang w:val="en-GB" w:eastAsia="ro-MD"/>
        </w:rPr>
        <w:t>“</w:t>
      </w:r>
      <w:r w:rsidRPr="003101B1">
        <w:rPr>
          <w:lang w:val="en-GB"/>
        </w:rPr>
        <w:t>the nominal amount of</w:t>
      </w:r>
      <w:r w:rsidR="002E21F7" w:rsidRPr="003101B1">
        <w:rPr>
          <w:lang w:val="en-GB" w:eastAsia="ro-MD"/>
        </w:rPr>
        <w:t xml:space="preserve">” </w:t>
      </w:r>
      <w:r w:rsidRPr="003101B1">
        <w:rPr>
          <w:lang w:val="en-GB" w:eastAsia="ro-MD"/>
        </w:rPr>
        <w:t>shall be replaced with the words</w:t>
      </w:r>
      <w:r w:rsidR="002E21F7" w:rsidRPr="003101B1">
        <w:rPr>
          <w:lang w:val="en-GB" w:eastAsia="ro-MD"/>
        </w:rPr>
        <w:t xml:space="preserve"> </w:t>
      </w:r>
      <w:r w:rsidRPr="003101B1">
        <w:rPr>
          <w:lang w:val="en-GB" w:eastAsia="ro-MD"/>
        </w:rPr>
        <w:t>“the carrying amount of</w:t>
      </w:r>
      <w:r w:rsidR="002E21F7" w:rsidRPr="003101B1">
        <w:rPr>
          <w:lang w:val="en-GB" w:eastAsia="ro-MD"/>
        </w:rPr>
        <w:t>”.</w:t>
      </w:r>
    </w:p>
    <w:p w14:paraId="46032B96" w14:textId="2D9F3D9B" w:rsidR="002E21F7" w:rsidRPr="003101B1" w:rsidRDefault="00F271E6" w:rsidP="00E91829">
      <w:pPr>
        <w:pStyle w:val="ListParagraph"/>
        <w:numPr>
          <w:ilvl w:val="1"/>
          <w:numId w:val="27"/>
        </w:numPr>
        <w:spacing w:before="80"/>
        <w:ind w:left="0" w:firstLine="567"/>
        <w:contextualSpacing w:val="0"/>
        <w:jc w:val="both"/>
        <w:rPr>
          <w:lang w:val="en-GB" w:eastAsia="ro-MD"/>
        </w:rPr>
      </w:pPr>
      <w:r w:rsidRPr="003101B1">
        <w:rPr>
          <w:lang w:val="en-GB" w:eastAsia="ro-MD"/>
        </w:rPr>
        <w:t xml:space="preserve">Paragraph </w:t>
      </w:r>
      <w:r w:rsidR="002E21F7" w:rsidRPr="003101B1">
        <w:rPr>
          <w:lang w:val="en-GB" w:eastAsia="ro-MD"/>
        </w:rPr>
        <w:t xml:space="preserve">100 </w:t>
      </w:r>
      <w:r w:rsidRPr="003101B1">
        <w:rPr>
          <w:lang w:val="en-GB" w:eastAsia="ro-MD"/>
        </w:rPr>
        <w:t xml:space="preserve">shall be supplemented with sub-paragraph </w:t>
      </w:r>
      <w:r w:rsidR="002E21F7" w:rsidRPr="003101B1">
        <w:rPr>
          <w:lang w:val="en-GB" w:eastAsia="ro-MD"/>
        </w:rPr>
        <w:t xml:space="preserve">5) </w:t>
      </w:r>
      <w:r w:rsidRPr="003101B1">
        <w:rPr>
          <w:lang w:val="en-GB" w:eastAsia="ro-MD"/>
        </w:rPr>
        <w:t>as follows</w:t>
      </w:r>
      <w:r w:rsidR="002E21F7" w:rsidRPr="003101B1">
        <w:rPr>
          <w:lang w:val="en-GB" w:eastAsia="ro-MD"/>
        </w:rPr>
        <w:t>:</w:t>
      </w:r>
    </w:p>
    <w:p w14:paraId="23D2474B" w14:textId="2D329FF9" w:rsidR="00F93D86" w:rsidRPr="003101B1" w:rsidRDefault="00F271E6" w:rsidP="00F93D86">
      <w:pPr>
        <w:jc w:val="both"/>
        <w:rPr>
          <w:lang w:val="en-GB" w:eastAsia="ro-MD"/>
        </w:rPr>
      </w:pPr>
      <w:r w:rsidRPr="003101B1">
        <w:rPr>
          <w:lang w:val="en-GB" w:eastAsia="ro-MD"/>
        </w:rPr>
        <w:t>“</w:t>
      </w:r>
      <w:r w:rsidR="002E21F7" w:rsidRPr="003101B1">
        <w:rPr>
          <w:lang w:val="en-GB" w:eastAsia="ro-MD"/>
        </w:rPr>
        <w:t xml:space="preserve">5) </w:t>
      </w:r>
      <w:r w:rsidR="00881A0E" w:rsidRPr="003101B1">
        <w:rPr>
          <w:lang w:val="en-GB" w:eastAsia="ro-MD"/>
        </w:rPr>
        <w:t>the amount of items required to be deducted from eligible liabilities items that exceeds the bank’s eligible liabilities items</w:t>
      </w:r>
      <w:r w:rsidR="002E21F7" w:rsidRPr="003101B1">
        <w:rPr>
          <w:lang w:val="en-GB" w:eastAsia="ro-MD"/>
        </w:rPr>
        <w:t>.”.</w:t>
      </w:r>
    </w:p>
    <w:p w14:paraId="487D8E1A" w14:textId="57B25F6E" w:rsidR="00976660" w:rsidRPr="003101B1" w:rsidRDefault="00F271E6" w:rsidP="00E91829">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2E21F7" w:rsidRPr="003101B1">
        <w:rPr>
          <w:lang w:val="en-GB" w:eastAsia="ro-MD"/>
        </w:rPr>
        <w:t xml:space="preserve"> 104 sub</w:t>
      </w:r>
      <w:r w:rsidRPr="003101B1">
        <w:rPr>
          <w:lang w:val="en-GB" w:eastAsia="ro-MD"/>
        </w:rPr>
        <w:t>-paragraph</w:t>
      </w:r>
      <w:r w:rsidR="002E21F7" w:rsidRPr="003101B1">
        <w:rPr>
          <w:lang w:val="en-GB" w:eastAsia="ro-MD"/>
        </w:rPr>
        <w:t xml:space="preserve"> 1) </w:t>
      </w:r>
      <w:r w:rsidRPr="003101B1">
        <w:rPr>
          <w:lang w:val="en-GB" w:eastAsia="ro-MD"/>
        </w:rPr>
        <w:t>letter</w:t>
      </w:r>
      <w:r w:rsidR="002E21F7" w:rsidRPr="003101B1">
        <w:rPr>
          <w:lang w:val="en-GB" w:eastAsia="ro-MD"/>
        </w:rPr>
        <w:t xml:space="preserve"> a) </w:t>
      </w:r>
      <w:r w:rsidRPr="003101B1">
        <w:rPr>
          <w:lang w:val="en-GB" w:eastAsia="ro-MD"/>
        </w:rPr>
        <w:t>shall read as follows</w:t>
      </w:r>
      <w:r w:rsidR="002E21F7" w:rsidRPr="003101B1">
        <w:rPr>
          <w:lang w:val="en-GB" w:eastAsia="ro-MD"/>
        </w:rPr>
        <w:t xml:space="preserve">: </w:t>
      </w:r>
    </w:p>
    <w:p w14:paraId="0C26D6DA" w14:textId="0283E686" w:rsidR="00F93D86" w:rsidRPr="003101B1" w:rsidRDefault="00F271E6" w:rsidP="00976660">
      <w:pPr>
        <w:jc w:val="both"/>
        <w:rPr>
          <w:lang w:val="en-GB" w:eastAsia="ro-MD"/>
        </w:rPr>
      </w:pPr>
      <w:r w:rsidRPr="003101B1">
        <w:rPr>
          <w:lang w:val="en-GB" w:eastAsia="ro-MD"/>
        </w:rPr>
        <w:t>“</w:t>
      </w:r>
      <w:r w:rsidR="002E21F7" w:rsidRPr="003101B1">
        <w:rPr>
          <w:lang w:val="en-GB" w:eastAsia="ro-MD"/>
        </w:rPr>
        <w:t xml:space="preserve">a) </w:t>
      </w:r>
      <w:r w:rsidR="00881A0E" w:rsidRPr="003101B1">
        <w:rPr>
          <w:lang w:val="en-GB" w:eastAsia="ro-MD"/>
        </w:rPr>
        <w:t>the maturity date of the short position is either the same as, or later than the maturity date of the long position or the residual maturity of the short position is at least one year</w:t>
      </w:r>
      <w:r w:rsidR="002E21F7" w:rsidRPr="003101B1">
        <w:rPr>
          <w:lang w:val="en-GB" w:eastAsia="ro-MD"/>
        </w:rPr>
        <w:t>;”.</w:t>
      </w:r>
    </w:p>
    <w:p w14:paraId="65D21D09" w14:textId="14DAE805" w:rsidR="002E21F7" w:rsidRPr="003101B1" w:rsidRDefault="00F271E6" w:rsidP="00E91829">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paragraph </w:t>
      </w:r>
      <w:r w:rsidR="002E21F7" w:rsidRPr="003101B1">
        <w:rPr>
          <w:lang w:val="en-GB" w:eastAsia="ro-MD"/>
        </w:rPr>
        <w:t>105 sub</w:t>
      </w:r>
      <w:r w:rsidRPr="003101B1">
        <w:rPr>
          <w:lang w:val="en-GB" w:eastAsia="ro-MD"/>
        </w:rPr>
        <w:t xml:space="preserve">-paragraph </w:t>
      </w:r>
      <w:r w:rsidR="002E21F7" w:rsidRPr="003101B1">
        <w:rPr>
          <w:lang w:val="en-GB" w:eastAsia="ro-MD"/>
        </w:rPr>
        <w:t>1)</w:t>
      </w:r>
      <w:r w:rsidR="00976660" w:rsidRPr="003101B1">
        <w:rPr>
          <w:lang w:val="en-GB" w:eastAsia="ro-MD"/>
        </w:rPr>
        <w:t xml:space="preserve"> </w:t>
      </w:r>
      <w:r w:rsidR="002E21F7" w:rsidRPr="003101B1">
        <w:rPr>
          <w:lang w:val="en-GB" w:eastAsia="ro-MD"/>
        </w:rPr>
        <w:t>l</w:t>
      </w:r>
      <w:r w:rsidRPr="003101B1">
        <w:rPr>
          <w:lang w:val="en-GB" w:eastAsia="ro-MD"/>
        </w:rPr>
        <w:t>etter</w:t>
      </w:r>
      <w:r w:rsidR="002E21F7" w:rsidRPr="003101B1">
        <w:rPr>
          <w:lang w:val="en-GB" w:eastAsia="ro-MD"/>
        </w:rPr>
        <w:t xml:space="preserve"> b)</w:t>
      </w:r>
      <w:r w:rsidR="00296927" w:rsidRPr="003101B1">
        <w:rPr>
          <w:lang w:val="en-GB" w:eastAsia="ro-MD"/>
        </w:rPr>
        <w:t>,</w:t>
      </w:r>
      <w:r w:rsidR="002E21F7" w:rsidRPr="003101B1">
        <w:rPr>
          <w:lang w:val="en-GB" w:eastAsia="ro-MD"/>
        </w:rPr>
        <w:t xml:space="preserve"> </w:t>
      </w:r>
      <w:r w:rsidRPr="003101B1">
        <w:rPr>
          <w:lang w:val="en-GB" w:eastAsia="ro-MD"/>
        </w:rPr>
        <w:t>the text</w:t>
      </w:r>
      <w:r w:rsidR="002E21F7" w:rsidRPr="003101B1">
        <w:rPr>
          <w:lang w:val="en-GB" w:eastAsia="ro-MD"/>
        </w:rPr>
        <w:t xml:space="preserve"> </w:t>
      </w:r>
      <w:r w:rsidRPr="003101B1">
        <w:rPr>
          <w:lang w:val="en-GB" w:eastAsia="ro-MD"/>
        </w:rPr>
        <w:t>“</w:t>
      </w:r>
      <w:r w:rsidR="002E21F7" w:rsidRPr="003101B1">
        <w:rPr>
          <w:lang w:val="en-GB" w:eastAsia="ro-MD"/>
        </w:rPr>
        <w:t xml:space="preserve">10) </w:t>
      </w:r>
      <w:r w:rsidRPr="003101B1">
        <w:rPr>
          <w:lang w:val="en-GB" w:eastAsia="ro-MD"/>
        </w:rPr>
        <w:t xml:space="preserve">and </w:t>
      </w:r>
      <w:r w:rsidR="002E21F7" w:rsidRPr="003101B1">
        <w:rPr>
          <w:lang w:val="en-GB" w:eastAsia="ro-MD"/>
        </w:rPr>
        <w:t xml:space="preserve">11)” </w:t>
      </w:r>
      <w:r w:rsidRPr="003101B1">
        <w:rPr>
          <w:lang w:val="en-GB" w:eastAsia="ro-MD"/>
        </w:rPr>
        <w:t>shall be replaced with “</w:t>
      </w:r>
      <w:r w:rsidR="002E21F7" w:rsidRPr="003101B1">
        <w:rPr>
          <w:lang w:val="en-GB" w:eastAsia="ro-MD"/>
        </w:rPr>
        <w:t xml:space="preserve">10) </w:t>
      </w:r>
      <w:r w:rsidRPr="003101B1">
        <w:rPr>
          <w:lang w:val="en-GB" w:eastAsia="ro-MD"/>
        </w:rPr>
        <w:t>letters</w:t>
      </w:r>
      <w:r w:rsidR="002E21F7" w:rsidRPr="003101B1">
        <w:rPr>
          <w:lang w:val="en-GB" w:eastAsia="ro-MD"/>
        </w:rPr>
        <w:t xml:space="preserve"> b) - e) </w:t>
      </w:r>
      <w:r w:rsidRPr="003101B1">
        <w:rPr>
          <w:lang w:val="en-GB" w:eastAsia="ro-MD"/>
        </w:rPr>
        <w:t>and</w:t>
      </w:r>
      <w:r w:rsidR="002E21F7" w:rsidRPr="003101B1">
        <w:rPr>
          <w:lang w:val="en-GB" w:eastAsia="ro-MD"/>
        </w:rPr>
        <w:t xml:space="preserve"> 11) - 13)”.</w:t>
      </w:r>
    </w:p>
    <w:p w14:paraId="6EAC3D8D" w14:textId="6F99E186" w:rsidR="002E21F7" w:rsidRPr="003101B1" w:rsidRDefault="002E21F7" w:rsidP="00E91829">
      <w:pPr>
        <w:pStyle w:val="ListParagraph"/>
        <w:numPr>
          <w:ilvl w:val="1"/>
          <w:numId w:val="27"/>
        </w:numPr>
        <w:spacing w:before="80"/>
        <w:ind w:left="0" w:firstLine="567"/>
        <w:contextualSpacing w:val="0"/>
        <w:jc w:val="both"/>
        <w:rPr>
          <w:lang w:val="en-GB" w:eastAsia="ro-MD"/>
        </w:rPr>
      </w:pPr>
      <w:r w:rsidRPr="003101B1">
        <w:rPr>
          <w:lang w:val="en-GB" w:eastAsia="ro-MD"/>
        </w:rPr>
        <w:t xml:space="preserve"> </w:t>
      </w:r>
      <w:r w:rsidR="00F271E6" w:rsidRPr="003101B1">
        <w:rPr>
          <w:lang w:val="en-GB" w:eastAsia="ro-MD"/>
        </w:rPr>
        <w:t xml:space="preserve">Chapter </w:t>
      </w:r>
      <w:r w:rsidR="00F93D86" w:rsidRPr="003101B1">
        <w:rPr>
          <w:lang w:val="en-GB" w:eastAsia="ro-MD"/>
        </w:rPr>
        <w:t>V</w:t>
      </w:r>
      <w:r w:rsidR="00F93D86" w:rsidRPr="003101B1">
        <w:rPr>
          <w:vertAlign w:val="superscript"/>
          <w:lang w:val="en-GB" w:eastAsia="ro-MD"/>
        </w:rPr>
        <w:t>1</w:t>
      </w:r>
      <w:r w:rsidR="00F93D86" w:rsidRPr="003101B1">
        <w:rPr>
          <w:lang w:val="en-GB" w:eastAsia="ro-MD"/>
        </w:rPr>
        <w:t xml:space="preserve"> </w:t>
      </w:r>
      <w:r w:rsidR="00F271E6" w:rsidRPr="003101B1">
        <w:rPr>
          <w:lang w:val="en-GB" w:eastAsia="ro-MD"/>
        </w:rPr>
        <w:t>shall be added with the following wording</w:t>
      </w:r>
      <w:r w:rsidR="00F93D86" w:rsidRPr="003101B1">
        <w:rPr>
          <w:lang w:val="en-GB" w:eastAsia="ro-MD"/>
        </w:rPr>
        <w:t>:</w:t>
      </w:r>
    </w:p>
    <w:p w14:paraId="7EAC9502" w14:textId="41BDCBAC" w:rsidR="00F93D86" w:rsidRPr="003101B1" w:rsidRDefault="00881A0E" w:rsidP="00F93D86">
      <w:pPr>
        <w:jc w:val="center"/>
        <w:rPr>
          <w:b/>
          <w:bCs/>
          <w:lang w:val="en-GB" w:eastAsia="ro-MD"/>
        </w:rPr>
      </w:pPr>
      <w:r w:rsidRPr="003101B1">
        <w:rPr>
          <w:lang w:val="en-GB" w:eastAsia="ro-MD"/>
        </w:rPr>
        <w:t>“</w:t>
      </w:r>
      <w:r w:rsidR="00F93D86" w:rsidRPr="003101B1">
        <w:rPr>
          <w:b/>
          <w:bCs/>
          <w:lang w:val="en-GB" w:eastAsia="ro-MD"/>
        </w:rPr>
        <w:t>C</w:t>
      </w:r>
      <w:r w:rsidRPr="003101B1">
        <w:rPr>
          <w:b/>
          <w:bCs/>
          <w:lang w:val="en-GB" w:eastAsia="ro-MD"/>
        </w:rPr>
        <w:t>hapter</w:t>
      </w:r>
      <w:r w:rsidR="00F93D86" w:rsidRPr="003101B1">
        <w:rPr>
          <w:b/>
          <w:bCs/>
          <w:lang w:val="en-GB" w:eastAsia="ro-MD"/>
        </w:rPr>
        <w:t xml:space="preserve"> V</w:t>
      </w:r>
      <w:r w:rsidR="00F93D86" w:rsidRPr="003101B1">
        <w:rPr>
          <w:b/>
          <w:bCs/>
          <w:vertAlign w:val="superscript"/>
          <w:lang w:val="en-GB" w:eastAsia="ro-MD"/>
        </w:rPr>
        <w:t>1</w:t>
      </w:r>
    </w:p>
    <w:p w14:paraId="3DDD71D3" w14:textId="2CA631E3" w:rsidR="00F93D86" w:rsidRPr="003101B1" w:rsidRDefault="00881A0E" w:rsidP="00F93D86">
      <w:pPr>
        <w:jc w:val="center"/>
        <w:rPr>
          <w:b/>
          <w:bCs/>
          <w:lang w:val="en-GB" w:eastAsia="ro-MD"/>
        </w:rPr>
      </w:pPr>
      <w:r w:rsidRPr="003101B1">
        <w:rPr>
          <w:b/>
          <w:bCs/>
          <w:lang w:val="en-GB" w:eastAsia="ro-MD"/>
        </w:rPr>
        <w:t>ELIGIBLE LIABILITIES</w:t>
      </w:r>
    </w:p>
    <w:p w14:paraId="73BAF4EC" w14:textId="48117EFA" w:rsidR="00F93D86" w:rsidRPr="003101B1" w:rsidRDefault="00F93D86" w:rsidP="00E91829">
      <w:pPr>
        <w:spacing w:before="80"/>
        <w:jc w:val="center"/>
        <w:rPr>
          <w:lang w:val="en-GB" w:eastAsia="ro-MD"/>
        </w:rPr>
      </w:pPr>
      <w:r w:rsidRPr="003101B1">
        <w:rPr>
          <w:b/>
          <w:bCs/>
          <w:i/>
          <w:iCs/>
          <w:lang w:val="en-GB" w:eastAsia="ro-MD"/>
        </w:rPr>
        <w:t>Sec</w:t>
      </w:r>
      <w:r w:rsidR="00881A0E" w:rsidRPr="003101B1">
        <w:rPr>
          <w:b/>
          <w:bCs/>
          <w:i/>
          <w:iCs/>
          <w:lang w:val="en-GB" w:eastAsia="ro-MD"/>
        </w:rPr>
        <w:t>tion</w:t>
      </w:r>
      <w:r w:rsidRPr="003101B1">
        <w:rPr>
          <w:b/>
          <w:bCs/>
          <w:i/>
          <w:iCs/>
          <w:lang w:val="en-GB" w:eastAsia="ro-MD"/>
        </w:rPr>
        <w:t xml:space="preserve"> 1</w:t>
      </w:r>
    </w:p>
    <w:p w14:paraId="665305D5" w14:textId="7F179F21" w:rsidR="00F93D86" w:rsidRPr="003101B1" w:rsidRDefault="00881A0E" w:rsidP="00E91829">
      <w:pPr>
        <w:jc w:val="center"/>
        <w:rPr>
          <w:b/>
          <w:bCs/>
          <w:i/>
          <w:iCs/>
          <w:lang w:val="en-GB" w:eastAsia="ro-MD"/>
        </w:rPr>
      </w:pPr>
      <w:r w:rsidRPr="003101B1">
        <w:rPr>
          <w:b/>
          <w:bCs/>
          <w:i/>
          <w:iCs/>
          <w:lang w:val="en-GB" w:eastAsia="ro-MD"/>
        </w:rPr>
        <w:t>Eligible liabilities items and instruments</w:t>
      </w:r>
      <w:r w:rsidR="00F93D86" w:rsidRPr="003101B1">
        <w:rPr>
          <w:b/>
          <w:bCs/>
          <w:i/>
          <w:iCs/>
          <w:lang w:val="en-GB" w:eastAsia="ro-MD"/>
        </w:rPr>
        <w:t xml:space="preserve"> </w:t>
      </w:r>
    </w:p>
    <w:p w14:paraId="7DCFA47E" w14:textId="79D07850" w:rsidR="00F93D86" w:rsidRPr="003101B1" w:rsidRDefault="00F93D86" w:rsidP="00E91829">
      <w:pPr>
        <w:spacing w:before="80"/>
        <w:jc w:val="center"/>
        <w:rPr>
          <w:b/>
          <w:bCs/>
          <w:i/>
          <w:iCs/>
          <w:lang w:val="en-GB" w:eastAsia="ro-MD"/>
        </w:rPr>
      </w:pPr>
      <w:r w:rsidRPr="003101B1">
        <w:rPr>
          <w:b/>
          <w:bCs/>
          <w:i/>
          <w:iCs/>
          <w:lang w:val="en-GB" w:eastAsia="ro-MD"/>
        </w:rPr>
        <w:t>Sub</w:t>
      </w:r>
      <w:r w:rsidR="00881A0E" w:rsidRPr="003101B1">
        <w:rPr>
          <w:b/>
          <w:bCs/>
          <w:i/>
          <w:iCs/>
          <w:lang w:val="en-GB" w:eastAsia="ro-MD"/>
        </w:rPr>
        <w:t>section</w:t>
      </w:r>
      <w:r w:rsidRPr="003101B1">
        <w:rPr>
          <w:b/>
          <w:bCs/>
          <w:i/>
          <w:iCs/>
          <w:lang w:val="en-GB" w:eastAsia="ro-MD"/>
        </w:rPr>
        <w:t xml:space="preserve"> 1</w:t>
      </w:r>
    </w:p>
    <w:p w14:paraId="21E679B9" w14:textId="6869B97A" w:rsidR="00F93D86" w:rsidRPr="003101B1" w:rsidRDefault="00881A0E" w:rsidP="00F93D86">
      <w:pPr>
        <w:jc w:val="center"/>
        <w:rPr>
          <w:b/>
          <w:bCs/>
          <w:i/>
          <w:iCs/>
          <w:lang w:val="en-GB" w:eastAsia="ro-MD"/>
        </w:rPr>
      </w:pPr>
      <w:r w:rsidRPr="003101B1">
        <w:rPr>
          <w:b/>
          <w:bCs/>
          <w:i/>
          <w:iCs/>
          <w:lang w:val="en-GB" w:eastAsia="ro-MD"/>
        </w:rPr>
        <w:t>Eligible liabilities items</w:t>
      </w:r>
      <w:r w:rsidR="00F93D86" w:rsidRPr="003101B1">
        <w:rPr>
          <w:b/>
          <w:bCs/>
          <w:i/>
          <w:iCs/>
          <w:lang w:val="en-GB" w:eastAsia="ro-MD"/>
        </w:rPr>
        <w:t xml:space="preserve"> </w:t>
      </w:r>
    </w:p>
    <w:p w14:paraId="0A2A4E92" w14:textId="199B67D9"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w:t>
      </w:r>
      <w:r w:rsidRPr="003101B1">
        <w:rPr>
          <w:b/>
          <w:bCs/>
          <w:lang w:val="en-GB" w:eastAsia="ro-MD"/>
        </w:rPr>
        <w:t>.</w:t>
      </w:r>
      <w:r w:rsidRPr="003101B1">
        <w:rPr>
          <w:lang w:val="en-GB" w:eastAsia="ro-MD"/>
        </w:rPr>
        <w:t xml:space="preserve"> </w:t>
      </w:r>
      <w:r w:rsidR="00881A0E" w:rsidRPr="003101B1">
        <w:rPr>
          <w:lang w:val="en-GB" w:eastAsia="ro-MD"/>
        </w:rPr>
        <w:t xml:space="preserve">Eligible liabilities items, unless they belong to one of the categories of excluded liabilities set out in paragraph </w:t>
      </w:r>
      <w:r w:rsidRPr="003101B1">
        <w:rPr>
          <w:lang w:val="en-GB" w:eastAsia="ro-MD"/>
        </w:rPr>
        <w:t>109</w:t>
      </w:r>
      <w:r w:rsidRPr="003101B1">
        <w:rPr>
          <w:vertAlign w:val="superscript"/>
          <w:lang w:val="en-GB" w:eastAsia="ro-MD"/>
        </w:rPr>
        <w:t>2</w:t>
      </w:r>
      <w:r w:rsidRPr="003101B1">
        <w:rPr>
          <w:lang w:val="en-GB" w:eastAsia="ro-MD"/>
        </w:rPr>
        <w:t xml:space="preserve"> </w:t>
      </w:r>
      <w:r w:rsidR="00881A0E" w:rsidRPr="003101B1">
        <w:rPr>
          <w:lang w:val="en-GB" w:eastAsia="ro-MD"/>
        </w:rPr>
        <w:t xml:space="preserve">and to the extent specified in paragraphs </w:t>
      </w:r>
      <w:r w:rsidRPr="003101B1">
        <w:rPr>
          <w:lang w:val="en-GB" w:eastAsia="ro-MD"/>
        </w:rPr>
        <w:t>109</w:t>
      </w:r>
      <w:r w:rsidRPr="003101B1">
        <w:rPr>
          <w:vertAlign w:val="superscript"/>
          <w:lang w:val="en-GB" w:eastAsia="ro-MD"/>
        </w:rPr>
        <w:t>12</w:t>
      </w:r>
      <w:r w:rsidRPr="003101B1">
        <w:rPr>
          <w:lang w:val="en-GB" w:eastAsia="ro-MD"/>
        </w:rPr>
        <w:t>-109</w:t>
      </w:r>
      <w:r w:rsidRPr="003101B1">
        <w:rPr>
          <w:vertAlign w:val="superscript"/>
          <w:lang w:val="en-GB" w:eastAsia="ro-MD"/>
        </w:rPr>
        <w:t>16</w:t>
      </w:r>
      <w:r w:rsidRPr="003101B1">
        <w:rPr>
          <w:lang w:val="en-GB" w:eastAsia="ro-MD"/>
        </w:rPr>
        <w:t xml:space="preserve">, </w:t>
      </w:r>
      <w:r w:rsidR="00881A0E" w:rsidRPr="003101B1">
        <w:rPr>
          <w:lang w:val="en-GB" w:eastAsia="ro-MD"/>
        </w:rPr>
        <w:t>shall consist of</w:t>
      </w:r>
      <w:r w:rsidRPr="003101B1">
        <w:rPr>
          <w:lang w:val="en-GB" w:eastAsia="ro-MD"/>
        </w:rPr>
        <w:t>:</w:t>
      </w:r>
    </w:p>
    <w:p w14:paraId="1414ED84" w14:textId="1A5928E5" w:rsidR="00F93D86" w:rsidRPr="003101B1" w:rsidRDefault="00F93D86" w:rsidP="001D1370">
      <w:pPr>
        <w:jc w:val="both"/>
        <w:rPr>
          <w:lang w:val="en-GB" w:eastAsia="ro-MD"/>
        </w:rPr>
      </w:pPr>
      <w:r w:rsidRPr="003101B1">
        <w:rPr>
          <w:lang w:val="en-GB" w:eastAsia="ro-MD"/>
        </w:rPr>
        <w:t xml:space="preserve">1) </w:t>
      </w:r>
      <w:r w:rsidR="00881A0E" w:rsidRPr="003101B1">
        <w:rPr>
          <w:lang w:val="en-GB" w:eastAsia="ro-MD"/>
        </w:rPr>
        <w:t xml:space="preserve">eligible liabilities instruments where the conditions set out in paragraphs </w:t>
      </w:r>
      <w:r w:rsidRPr="003101B1">
        <w:rPr>
          <w:lang w:val="en-GB" w:eastAsia="ro-MD"/>
        </w:rPr>
        <w:t>109</w:t>
      </w:r>
      <w:r w:rsidRPr="003101B1">
        <w:rPr>
          <w:vertAlign w:val="superscript"/>
          <w:lang w:val="en-GB" w:eastAsia="ro-MD"/>
        </w:rPr>
        <w:t>4</w:t>
      </w:r>
      <w:r w:rsidRPr="003101B1">
        <w:rPr>
          <w:lang w:val="en-GB" w:eastAsia="ro-MD"/>
        </w:rPr>
        <w:t>-109</w:t>
      </w:r>
      <w:r w:rsidRPr="003101B1">
        <w:rPr>
          <w:vertAlign w:val="superscript"/>
          <w:lang w:val="en-GB" w:eastAsia="ro-MD"/>
        </w:rPr>
        <w:t>11</w:t>
      </w:r>
      <w:r w:rsidRPr="003101B1">
        <w:rPr>
          <w:lang w:val="en-GB" w:eastAsia="ro-MD"/>
        </w:rPr>
        <w:t xml:space="preserve">, </w:t>
      </w:r>
      <w:r w:rsidR="00881A0E" w:rsidRPr="003101B1">
        <w:rPr>
          <w:lang w:val="en-GB" w:eastAsia="ro-MD"/>
        </w:rPr>
        <w:t>are met, to the extent that they do not qualify as Common Equity Tier 1, Additional Tier 1 or Tier 2 items</w:t>
      </w:r>
      <w:r w:rsidRPr="003101B1">
        <w:rPr>
          <w:lang w:val="en-GB" w:eastAsia="ro-MD"/>
        </w:rPr>
        <w:t>;</w:t>
      </w:r>
    </w:p>
    <w:p w14:paraId="01E89675" w14:textId="55348260" w:rsidR="00F93D86" w:rsidRPr="003101B1" w:rsidRDefault="00F93D86" w:rsidP="001D1370">
      <w:pPr>
        <w:jc w:val="both"/>
        <w:rPr>
          <w:lang w:val="en-GB" w:eastAsia="ro-MD"/>
        </w:rPr>
      </w:pPr>
      <w:r w:rsidRPr="003101B1">
        <w:rPr>
          <w:lang w:val="en-GB" w:eastAsia="ro-MD"/>
        </w:rPr>
        <w:t xml:space="preserve">2) </w:t>
      </w:r>
      <w:r w:rsidR="00881A0E" w:rsidRPr="003101B1">
        <w:rPr>
          <w:lang w:val="en-GB" w:eastAsia="ro-MD"/>
        </w:rPr>
        <w:t xml:space="preserve">Tier 2 instruments with a residual maturity of </w:t>
      </w:r>
      <w:r w:rsidR="00F92518" w:rsidRPr="003101B1">
        <w:rPr>
          <w:lang w:val="en-GB" w:eastAsia="ro-MD"/>
        </w:rPr>
        <w:t xml:space="preserve">at least </w:t>
      </w:r>
      <w:r w:rsidR="00881A0E" w:rsidRPr="003101B1">
        <w:rPr>
          <w:lang w:val="en-GB" w:eastAsia="ro-MD"/>
        </w:rPr>
        <w:t>one year</w:t>
      </w:r>
      <w:r w:rsidR="00F92518" w:rsidRPr="003101B1">
        <w:rPr>
          <w:lang w:val="en-GB" w:eastAsia="ro-MD"/>
        </w:rPr>
        <w:t>,</w:t>
      </w:r>
      <w:r w:rsidR="00881A0E" w:rsidRPr="003101B1">
        <w:rPr>
          <w:lang w:val="en-GB" w:eastAsia="ro-MD"/>
        </w:rPr>
        <w:t xml:space="preserve"> to the extent that they do not qualify as Tier 2 items in accordance with paragraph 98</w:t>
      </w:r>
      <w:r w:rsidRPr="003101B1">
        <w:rPr>
          <w:lang w:val="en-GB" w:eastAsia="ro-MD"/>
        </w:rPr>
        <w:t xml:space="preserve">. </w:t>
      </w:r>
    </w:p>
    <w:p w14:paraId="52E0AE24" w14:textId="1860A295"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F92518" w:rsidRPr="003101B1">
        <w:rPr>
          <w:lang w:val="en-GB" w:eastAsia="ro-MD"/>
        </w:rPr>
        <w:t>The following liabilities shall be excluded from eligible liabilities items</w:t>
      </w:r>
      <w:r w:rsidRPr="003101B1">
        <w:rPr>
          <w:lang w:val="en-GB" w:eastAsia="ro-MD"/>
        </w:rPr>
        <w:t>:</w:t>
      </w:r>
    </w:p>
    <w:p w14:paraId="1085784B" w14:textId="4D90E44D" w:rsidR="00F93D86" w:rsidRPr="003101B1" w:rsidRDefault="00F93D86" w:rsidP="001D1370">
      <w:pPr>
        <w:jc w:val="both"/>
        <w:rPr>
          <w:lang w:val="en-GB" w:eastAsia="ro-MD"/>
        </w:rPr>
      </w:pPr>
      <w:r w:rsidRPr="003101B1">
        <w:rPr>
          <w:lang w:val="en-GB" w:eastAsia="ro-MD"/>
        </w:rPr>
        <w:t xml:space="preserve">1) </w:t>
      </w:r>
      <w:r w:rsidR="00F92518" w:rsidRPr="003101B1">
        <w:rPr>
          <w:lang w:val="en-GB" w:eastAsia="ro-MD"/>
        </w:rPr>
        <w:t>deposits guaranteed under Law No 160/2023 on bank deposit guarantees (hereinafter – Law No 160/2023)</w:t>
      </w:r>
      <w:r w:rsidRPr="003101B1">
        <w:rPr>
          <w:lang w:val="en-GB" w:eastAsia="ro-MD"/>
        </w:rPr>
        <w:t>;</w:t>
      </w:r>
      <w:r w:rsidRPr="003101B1">
        <w:rPr>
          <w:sz w:val="18"/>
          <w:szCs w:val="18"/>
          <w:highlight w:val="lightGray"/>
          <w:lang w:val="en-GB" w:eastAsia="ro-MD"/>
        </w:rPr>
        <w:t xml:space="preserve"> </w:t>
      </w:r>
    </w:p>
    <w:p w14:paraId="6B649E39" w14:textId="3A7BFFBA" w:rsidR="00F93D86" w:rsidRPr="003101B1" w:rsidRDefault="00F93D86" w:rsidP="001D1370">
      <w:pPr>
        <w:jc w:val="both"/>
        <w:rPr>
          <w:lang w:val="en-GB" w:eastAsia="ro-MD"/>
        </w:rPr>
      </w:pPr>
      <w:r w:rsidRPr="003101B1">
        <w:rPr>
          <w:lang w:val="en-GB" w:eastAsia="ro-MD"/>
        </w:rPr>
        <w:t xml:space="preserve">2) </w:t>
      </w:r>
      <w:r w:rsidR="00F92518" w:rsidRPr="003101B1">
        <w:rPr>
          <w:lang w:val="en-GB" w:eastAsia="ro-MD"/>
        </w:rPr>
        <w:t>sight deposits and short term deposits with an original maturity of less than one year</w:t>
      </w:r>
      <w:r w:rsidRPr="003101B1">
        <w:rPr>
          <w:lang w:val="en-GB" w:eastAsia="ro-MD"/>
        </w:rPr>
        <w:t>;</w:t>
      </w:r>
      <w:r w:rsidRPr="003101B1">
        <w:rPr>
          <w:sz w:val="18"/>
          <w:szCs w:val="18"/>
          <w:highlight w:val="lightGray"/>
          <w:lang w:val="en-GB" w:eastAsia="ro-MD"/>
        </w:rPr>
        <w:t xml:space="preserve"> </w:t>
      </w:r>
    </w:p>
    <w:p w14:paraId="0E16EDC4" w14:textId="777AD8CE" w:rsidR="00F93D86" w:rsidRPr="003101B1" w:rsidRDefault="00F93D86" w:rsidP="001D1370">
      <w:pPr>
        <w:jc w:val="both"/>
        <w:rPr>
          <w:lang w:val="en-GB" w:eastAsia="ro-MD"/>
        </w:rPr>
      </w:pPr>
      <w:r w:rsidRPr="003101B1">
        <w:rPr>
          <w:lang w:val="en-GB" w:eastAsia="ro-MD"/>
        </w:rPr>
        <w:t xml:space="preserve">3) </w:t>
      </w:r>
      <w:r w:rsidR="00F92518" w:rsidRPr="003101B1">
        <w:rPr>
          <w:lang w:val="en-GB" w:eastAsia="ro-MD"/>
        </w:rPr>
        <w:t>the part of eligible deposits from natural persons and micro, small and medium-sized enterprises which exceeds the coverage level referred to in Law No 160/2023</w:t>
      </w:r>
      <w:r w:rsidRPr="003101B1">
        <w:rPr>
          <w:lang w:val="en-GB" w:eastAsia="ro-MD"/>
        </w:rPr>
        <w:t>;</w:t>
      </w:r>
      <w:r w:rsidRPr="003101B1">
        <w:rPr>
          <w:sz w:val="18"/>
          <w:szCs w:val="18"/>
          <w:highlight w:val="lightGray"/>
          <w:lang w:val="en-GB" w:eastAsia="ro-MD"/>
        </w:rPr>
        <w:t xml:space="preserve"> </w:t>
      </w:r>
    </w:p>
    <w:p w14:paraId="20AC31D3" w14:textId="72DFA59C" w:rsidR="00F93D86" w:rsidRPr="003101B1" w:rsidRDefault="00F93D86" w:rsidP="001D1370">
      <w:pPr>
        <w:jc w:val="both"/>
        <w:rPr>
          <w:lang w:val="en-GB" w:eastAsia="ro-MD"/>
        </w:rPr>
      </w:pPr>
      <w:r w:rsidRPr="003101B1">
        <w:rPr>
          <w:lang w:val="en-GB" w:eastAsia="ro-MD"/>
        </w:rPr>
        <w:t xml:space="preserve">4) </w:t>
      </w:r>
      <w:r w:rsidR="00F92518" w:rsidRPr="003101B1">
        <w:rPr>
          <w:lang w:val="en-GB" w:eastAsia="ro-MD"/>
        </w:rPr>
        <w:t>deposits that would be eligible deposits from natural persons and micro, small and medium-sized enterprises if they were not made through branches located outside the Republic of Moldova or through Member States of the European Union of banks established in the Republic of Moldova</w:t>
      </w:r>
      <w:r w:rsidRPr="003101B1">
        <w:rPr>
          <w:lang w:val="en-GB" w:eastAsia="ro-MD"/>
        </w:rPr>
        <w:t>;</w:t>
      </w:r>
    </w:p>
    <w:p w14:paraId="09003948" w14:textId="2D3EC14E" w:rsidR="00F93D86" w:rsidRPr="003101B1" w:rsidRDefault="00F93D86" w:rsidP="001D1370">
      <w:pPr>
        <w:jc w:val="both"/>
        <w:rPr>
          <w:lang w:val="en-GB" w:eastAsia="ro-MD"/>
        </w:rPr>
      </w:pPr>
      <w:r w:rsidRPr="003101B1">
        <w:rPr>
          <w:lang w:val="en-GB" w:eastAsia="ro-MD"/>
        </w:rPr>
        <w:t xml:space="preserve">5) </w:t>
      </w:r>
      <w:r w:rsidR="00F92518" w:rsidRPr="003101B1">
        <w:rPr>
          <w:lang w:val="en-GB" w:eastAsia="ro-MD"/>
        </w:rPr>
        <w:t>secured liabilities, including covered bonds and liabilities in the form of financial instruments used for hedging purposes, that form an integral part of the cover pool and which under national law are secured in a way similar to covered bonds, provided that all secured assets relating to a covered bond cover pool remain unaffected, segregated and with enough funding and excluding any part of a secured liability or a liability covered by collateral that exceeds the value of the assets, pledge, lien or collateral backing it</w:t>
      </w:r>
      <w:r w:rsidRPr="003101B1">
        <w:rPr>
          <w:lang w:val="en-GB" w:eastAsia="ro-MD"/>
        </w:rPr>
        <w:t>;</w:t>
      </w:r>
      <w:r w:rsidRPr="003101B1">
        <w:rPr>
          <w:sz w:val="18"/>
          <w:szCs w:val="18"/>
          <w:highlight w:val="lightGray"/>
          <w:lang w:val="en-GB" w:eastAsia="ro-MD"/>
        </w:rPr>
        <w:t xml:space="preserve"> </w:t>
      </w:r>
    </w:p>
    <w:p w14:paraId="68A23986" w14:textId="207FACCB" w:rsidR="00F93D86" w:rsidRPr="003101B1" w:rsidRDefault="00F93D86" w:rsidP="001D1370">
      <w:pPr>
        <w:jc w:val="both"/>
        <w:rPr>
          <w:lang w:val="en-GB" w:eastAsia="ro-MD"/>
        </w:rPr>
      </w:pPr>
      <w:r w:rsidRPr="003101B1">
        <w:rPr>
          <w:lang w:val="en-GB" w:eastAsia="ro-MD"/>
        </w:rPr>
        <w:t xml:space="preserve">6) </w:t>
      </w:r>
      <w:r w:rsidR="00F92518" w:rsidRPr="003101B1">
        <w:rPr>
          <w:lang w:val="en-GB" w:eastAsia="ro-MD"/>
        </w:rPr>
        <w:t>any liability that arises by virtue of the holding of client assets or client money, including client assets or client money held on behalf of collective investment undertakings, provided that such a client is protected under applicable insolvency law</w:t>
      </w:r>
      <w:r w:rsidRPr="003101B1">
        <w:rPr>
          <w:lang w:val="en-GB" w:eastAsia="ro-MD"/>
        </w:rPr>
        <w:t>;</w:t>
      </w:r>
      <w:r w:rsidRPr="003101B1">
        <w:rPr>
          <w:sz w:val="18"/>
          <w:szCs w:val="18"/>
          <w:highlight w:val="lightGray"/>
          <w:lang w:val="en-GB" w:eastAsia="ro-MD"/>
        </w:rPr>
        <w:t xml:space="preserve"> </w:t>
      </w:r>
    </w:p>
    <w:p w14:paraId="3285B6A0" w14:textId="598505C3" w:rsidR="00F93D86" w:rsidRPr="003101B1" w:rsidRDefault="00F93D86" w:rsidP="001D1370">
      <w:pPr>
        <w:jc w:val="both"/>
        <w:rPr>
          <w:lang w:val="en-GB" w:eastAsia="ro-MD"/>
        </w:rPr>
      </w:pPr>
      <w:r w:rsidRPr="003101B1">
        <w:rPr>
          <w:lang w:val="en-GB" w:eastAsia="ro-MD"/>
        </w:rPr>
        <w:t xml:space="preserve">7) </w:t>
      </w:r>
      <w:r w:rsidR="005B5F23" w:rsidRPr="003101B1">
        <w:rPr>
          <w:lang w:val="en-GB" w:eastAsia="ro-MD"/>
        </w:rPr>
        <w:t>any liability that arises by virtue of a fiduciary relationship between the resolution entity or any of its subsidiaries (as fiduciary) and another person (as beneficiary), provided that such beneficiary is protected under the applicable insolvency or civil law</w:t>
      </w:r>
      <w:r w:rsidRPr="003101B1">
        <w:rPr>
          <w:lang w:val="en-GB" w:eastAsia="ro-MD"/>
        </w:rPr>
        <w:t>;</w:t>
      </w:r>
      <w:r w:rsidRPr="003101B1">
        <w:rPr>
          <w:sz w:val="18"/>
          <w:szCs w:val="18"/>
          <w:highlight w:val="lightGray"/>
          <w:lang w:val="en-GB" w:eastAsia="ro-MD"/>
        </w:rPr>
        <w:t xml:space="preserve"> </w:t>
      </w:r>
    </w:p>
    <w:p w14:paraId="4EBBF602" w14:textId="5764861D" w:rsidR="00F93D86" w:rsidRPr="003101B1" w:rsidRDefault="00F93D86" w:rsidP="001D1370">
      <w:pPr>
        <w:jc w:val="both"/>
        <w:rPr>
          <w:lang w:val="en-GB" w:eastAsia="ro-MD"/>
        </w:rPr>
      </w:pPr>
      <w:r w:rsidRPr="003101B1">
        <w:rPr>
          <w:lang w:val="en-GB" w:eastAsia="ro-MD"/>
        </w:rPr>
        <w:t xml:space="preserve">8) </w:t>
      </w:r>
      <w:r w:rsidR="005B5F23" w:rsidRPr="003101B1">
        <w:rPr>
          <w:lang w:val="en-GB" w:eastAsia="ro-MD"/>
        </w:rPr>
        <w:t>liabilities to banks, excluding liabilities to entities that are part of the same group, with an original maturity of less than seven days</w:t>
      </w:r>
      <w:r w:rsidRPr="003101B1">
        <w:rPr>
          <w:lang w:val="en-GB" w:eastAsia="ro-MD"/>
        </w:rPr>
        <w:t>;</w:t>
      </w:r>
      <w:r w:rsidRPr="003101B1">
        <w:rPr>
          <w:sz w:val="18"/>
          <w:szCs w:val="18"/>
          <w:highlight w:val="lightGray"/>
          <w:lang w:val="en-GB" w:eastAsia="ro-MD"/>
        </w:rPr>
        <w:t xml:space="preserve"> </w:t>
      </w:r>
    </w:p>
    <w:p w14:paraId="1BD99B6C" w14:textId="1D021342" w:rsidR="00F93D86" w:rsidRPr="003101B1" w:rsidRDefault="00F93D86" w:rsidP="001D1370">
      <w:pPr>
        <w:jc w:val="both"/>
        <w:rPr>
          <w:lang w:val="en-GB" w:eastAsia="ro-MD"/>
        </w:rPr>
      </w:pPr>
      <w:r w:rsidRPr="003101B1">
        <w:rPr>
          <w:lang w:val="en-GB" w:eastAsia="ro-MD"/>
        </w:rPr>
        <w:t xml:space="preserve">9) </w:t>
      </w:r>
      <w:r w:rsidR="005B5F23" w:rsidRPr="003101B1">
        <w:rPr>
          <w:lang w:val="en-GB" w:eastAsia="ro-MD"/>
        </w:rPr>
        <w:t>liabilities with a remaining maturity of less than seven days, owed to</w:t>
      </w:r>
      <w:r w:rsidRPr="003101B1">
        <w:rPr>
          <w:lang w:val="en-GB" w:eastAsia="ro-MD"/>
        </w:rPr>
        <w:t>:</w:t>
      </w:r>
    </w:p>
    <w:p w14:paraId="062C38E8" w14:textId="06D5DBB7" w:rsidR="00F93D86" w:rsidRPr="003101B1" w:rsidRDefault="00F93D86" w:rsidP="001D1370">
      <w:pPr>
        <w:jc w:val="both"/>
        <w:rPr>
          <w:lang w:val="en-GB" w:eastAsia="ro-MD"/>
        </w:rPr>
      </w:pPr>
      <w:r w:rsidRPr="003101B1">
        <w:rPr>
          <w:lang w:val="en-GB" w:eastAsia="ro-MD"/>
        </w:rPr>
        <w:t xml:space="preserve">a) </w:t>
      </w:r>
      <w:r w:rsidR="005B5F23" w:rsidRPr="003101B1">
        <w:rPr>
          <w:lang w:val="en-GB" w:eastAsia="ro-MD"/>
        </w:rPr>
        <w:t>systems or operators of systems designated pursuant to Law No 183/2016 on settlement finality in payment and financial instruments settlement systems</w:t>
      </w:r>
      <w:r w:rsidRPr="003101B1">
        <w:rPr>
          <w:lang w:val="en-GB" w:eastAsia="ro-MD"/>
        </w:rPr>
        <w:t>;</w:t>
      </w:r>
    </w:p>
    <w:p w14:paraId="698FD85F" w14:textId="4F0F61CE" w:rsidR="00F93D86" w:rsidRPr="003101B1" w:rsidRDefault="00F93D86" w:rsidP="001D1370">
      <w:pPr>
        <w:jc w:val="both"/>
        <w:rPr>
          <w:lang w:val="en-GB" w:eastAsia="ro-MD"/>
        </w:rPr>
      </w:pPr>
      <w:r w:rsidRPr="003101B1">
        <w:rPr>
          <w:lang w:val="en-GB" w:eastAsia="ro-MD"/>
        </w:rPr>
        <w:t xml:space="preserve">b) </w:t>
      </w:r>
      <w:r w:rsidR="005B5F23" w:rsidRPr="003101B1">
        <w:rPr>
          <w:lang w:val="en-GB" w:eastAsia="ro-MD"/>
        </w:rPr>
        <w:t>participants in a given system, designated in accordance with Law No 183/2016 on settlement finality in payment and financial instruments settlement systems, and liabilities arising from participation in such a system; or</w:t>
      </w:r>
    </w:p>
    <w:p w14:paraId="4E6CA846" w14:textId="33D3BB3C" w:rsidR="00F93D86" w:rsidRPr="003101B1" w:rsidRDefault="00F93D86" w:rsidP="001D1370">
      <w:pPr>
        <w:jc w:val="both"/>
        <w:rPr>
          <w:lang w:val="en-GB" w:eastAsia="ro-MD"/>
        </w:rPr>
      </w:pPr>
      <w:r w:rsidRPr="003101B1">
        <w:rPr>
          <w:lang w:val="en-GB" w:eastAsia="ro-MD"/>
        </w:rPr>
        <w:t xml:space="preserve">c) </w:t>
      </w:r>
      <w:r w:rsidR="005B5F23" w:rsidRPr="003101B1">
        <w:rPr>
          <w:lang w:val="en-GB" w:eastAsia="ro-MD"/>
        </w:rPr>
        <w:t>third-country central counterparties (CCPs) recognised under market infrastructure legislation</w:t>
      </w:r>
      <w:r w:rsidRPr="003101B1">
        <w:rPr>
          <w:lang w:val="en-GB" w:eastAsia="ro-MD"/>
        </w:rPr>
        <w:t>;</w:t>
      </w:r>
      <w:r w:rsidRPr="003101B1">
        <w:rPr>
          <w:sz w:val="18"/>
          <w:szCs w:val="18"/>
          <w:highlight w:val="lightGray"/>
          <w:lang w:val="en-GB" w:eastAsia="ro-MD"/>
        </w:rPr>
        <w:t xml:space="preserve"> </w:t>
      </w:r>
    </w:p>
    <w:p w14:paraId="3980779F" w14:textId="7DC9025E" w:rsidR="00F93D86" w:rsidRPr="003101B1" w:rsidRDefault="00F93D86" w:rsidP="001D1370">
      <w:pPr>
        <w:jc w:val="both"/>
        <w:rPr>
          <w:lang w:val="en-GB" w:eastAsia="ro-MD"/>
        </w:rPr>
      </w:pPr>
      <w:r w:rsidRPr="003101B1">
        <w:rPr>
          <w:lang w:val="en-GB" w:eastAsia="ro-MD"/>
        </w:rPr>
        <w:t xml:space="preserve">10) </w:t>
      </w:r>
      <w:r w:rsidR="005B5F23" w:rsidRPr="003101B1">
        <w:rPr>
          <w:lang w:val="en-GB" w:eastAsia="ro-MD"/>
        </w:rPr>
        <w:t>a liability to</w:t>
      </w:r>
      <w:r w:rsidRPr="003101B1">
        <w:rPr>
          <w:lang w:val="en-GB" w:eastAsia="ro-MD"/>
        </w:rPr>
        <w:t>:</w:t>
      </w:r>
    </w:p>
    <w:p w14:paraId="1079E1B6" w14:textId="58A9AC08" w:rsidR="00F93D86" w:rsidRPr="003101B1" w:rsidRDefault="00F93D86" w:rsidP="001D1370">
      <w:pPr>
        <w:jc w:val="both"/>
        <w:rPr>
          <w:lang w:val="en-GB" w:eastAsia="ro-MD"/>
        </w:rPr>
      </w:pPr>
      <w:r w:rsidRPr="003101B1">
        <w:rPr>
          <w:lang w:val="en-GB" w:eastAsia="ro-MD"/>
        </w:rPr>
        <w:t xml:space="preserve">a) </w:t>
      </w:r>
      <w:r w:rsidR="005B5F23" w:rsidRPr="003101B1">
        <w:rPr>
          <w:lang w:val="en-GB" w:eastAsia="ro-MD"/>
        </w:rPr>
        <w:t>an employee, in relation to accrued salary, pension benefits or other fixed remuneration, except for the variable component of remuneration that is not regulated by a collective bargaining agreement and except for the variable component of the remuneration of material risk takers as referred to in Article 39 of Law No 202/2017</w:t>
      </w:r>
      <w:r w:rsidRPr="003101B1">
        <w:rPr>
          <w:lang w:val="en-GB" w:eastAsia="ro-MD"/>
        </w:rPr>
        <w:t>;</w:t>
      </w:r>
    </w:p>
    <w:p w14:paraId="2ED4B984" w14:textId="5610CC71" w:rsidR="00F93D86" w:rsidRPr="003101B1" w:rsidRDefault="00F93D86" w:rsidP="001D1370">
      <w:pPr>
        <w:jc w:val="both"/>
        <w:rPr>
          <w:lang w:val="en-GB" w:eastAsia="ro-MD"/>
        </w:rPr>
      </w:pPr>
      <w:r w:rsidRPr="003101B1">
        <w:rPr>
          <w:lang w:val="en-GB" w:eastAsia="ro-MD"/>
        </w:rPr>
        <w:t xml:space="preserve">b) </w:t>
      </w:r>
      <w:r w:rsidR="005B5F23" w:rsidRPr="003101B1">
        <w:rPr>
          <w:lang w:val="en-GB" w:eastAsia="ro-MD"/>
        </w:rPr>
        <w:t>a commercial creditor where the liability arises from the provision to the bank or parent undertaking of goods or services that are critical to the daily functioning of the business of the institution or parent undertaking, including IT services, utilities and the rental, servicing and upkeep of premises</w:t>
      </w:r>
      <w:r w:rsidRPr="003101B1">
        <w:rPr>
          <w:lang w:val="en-GB" w:eastAsia="ro-MD"/>
        </w:rPr>
        <w:t>;</w:t>
      </w:r>
    </w:p>
    <w:p w14:paraId="31DDD1D9" w14:textId="2801C060" w:rsidR="00F93D86" w:rsidRPr="003101B1" w:rsidRDefault="00F93D86" w:rsidP="001D1370">
      <w:pPr>
        <w:jc w:val="both"/>
        <w:rPr>
          <w:lang w:val="en-GB" w:eastAsia="ro-MD"/>
        </w:rPr>
      </w:pPr>
      <w:r w:rsidRPr="003101B1">
        <w:rPr>
          <w:lang w:val="en-GB" w:eastAsia="ro-MD"/>
        </w:rPr>
        <w:t xml:space="preserve">c) </w:t>
      </w:r>
      <w:r w:rsidR="00D54B56" w:rsidRPr="003101B1">
        <w:rPr>
          <w:lang w:val="en-GB" w:eastAsia="ro-MD"/>
        </w:rPr>
        <w:t>tax and social security authorities, provided that those liabilities are preferred under the applicable law</w:t>
      </w:r>
      <w:r w:rsidRPr="003101B1">
        <w:rPr>
          <w:lang w:val="en-GB" w:eastAsia="ro-MD"/>
        </w:rPr>
        <w:t>;</w:t>
      </w:r>
    </w:p>
    <w:p w14:paraId="25C843F5" w14:textId="40680EC5" w:rsidR="00F93D86" w:rsidRPr="003101B1" w:rsidRDefault="00F93D86" w:rsidP="001D1370">
      <w:pPr>
        <w:jc w:val="both"/>
        <w:rPr>
          <w:lang w:val="en-GB" w:eastAsia="ro-MD"/>
        </w:rPr>
      </w:pPr>
      <w:r w:rsidRPr="003101B1">
        <w:rPr>
          <w:lang w:val="en-GB" w:eastAsia="ro-MD"/>
        </w:rPr>
        <w:t xml:space="preserve">d) </w:t>
      </w:r>
      <w:r w:rsidR="00D54B56" w:rsidRPr="003101B1">
        <w:rPr>
          <w:lang w:val="en-GB" w:eastAsia="ro-MD"/>
        </w:rPr>
        <w:t>deposit guarantee schemes where the liability arises from contributions due in accordance with</w:t>
      </w:r>
      <w:r w:rsidRPr="003101B1">
        <w:rPr>
          <w:lang w:val="en-GB" w:eastAsia="ro-MD"/>
        </w:rPr>
        <w:t xml:space="preserve"> L</w:t>
      </w:r>
      <w:r w:rsidR="00D54B56" w:rsidRPr="003101B1">
        <w:rPr>
          <w:lang w:val="en-GB" w:eastAsia="ro-MD"/>
        </w:rPr>
        <w:t>aw</w:t>
      </w:r>
      <w:r w:rsidRPr="003101B1">
        <w:rPr>
          <w:lang w:val="en-GB" w:eastAsia="ro-MD"/>
        </w:rPr>
        <w:t xml:space="preserve"> </w:t>
      </w:r>
      <w:r w:rsidR="00D54B56" w:rsidRPr="003101B1">
        <w:rPr>
          <w:lang w:val="en-GB" w:eastAsia="ro-MD"/>
        </w:rPr>
        <w:t xml:space="preserve">No </w:t>
      </w:r>
      <w:r w:rsidRPr="003101B1">
        <w:rPr>
          <w:lang w:val="en-GB" w:eastAsia="ro-MD"/>
        </w:rPr>
        <w:t>160/2023;</w:t>
      </w:r>
      <w:r w:rsidRPr="003101B1">
        <w:rPr>
          <w:sz w:val="18"/>
          <w:szCs w:val="18"/>
          <w:highlight w:val="lightGray"/>
          <w:lang w:val="en-GB" w:eastAsia="ro-MD"/>
        </w:rPr>
        <w:t xml:space="preserve"> </w:t>
      </w:r>
    </w:p>
    <w:p w14:paraId="0EE3C47B" w14:textId="3C11B0E2" w:rsidR="00F93D86" w:rsidRPr="003101B1" w:rsidRDefault="00F93D86" w:rsidP="001D1370">
      <w:pPr>
        <w:jc w:val="both"/>
        <w:rPr>
          <w:lang w:val="en-GB" w:eastAsia="ro-MD"/>
        </w:rPr>
      </w:pPr>
      <w:r w:rsidRPr="003101B1">
        <w:rPr>
          <w:lang w:val="en-GB" w:eastAsia="ro-MD"/>
        </w:rPr>
        <w:t xml:space="preserve">11) </w:t>
      </w:r>
      <w:r w:rsidR="00D54B56" w:rsidRPr="003101B1">
        <w:rPr>
          <w:lang w:val="en-GB" w:eastAsia="ro-MD"/>
        </w:rPr>
        <w:t>liabilities arising from derivatives</w:t>
      </w:r>
      <w:r w:rsidRPr="003101B1">
        <w:rPr>
          <w:lang w:val="en-GB" w:eastAsia="ro-MD"/>
        </w:rPr>
        <w:t>;</w:t>
      </w:r>
      <w:r w:rsidRPr="003101B1">
        <w:rPr>
          <w:sz w:val="18"/>
          <w:szCs w:val="18"/>
          <w:highlight w:val="lightGray"/>
          <w:lang w:val="en-GB" w:eastAsia="ro-MD"/>
        </w:rPr>
        <w:t xml:space="preserve"> </w:t>
      </w:r>
    </w:p>
    <w:p w14:paraId="52F5582E" w14:textId="6BFAC3BC" w:rsidR="00F93D86" w:rsidRPr="003101B1" w:rsidRDefault="00F93D86" w:rsidP="001D1370">
      <w:pPr>
        <w:jc w:val="both"/>
        <w:rPr>
          <w:lang w:val="en-GB" w:eastAsia="ro-MD"/>
        </w:rPr>
      </w:pPr>
      <w:r w:rsidRPr="003101B1">
        <w:rPr>
          <w:lang w:val="en-GB" w:eastAsia="ro-MD"/>
        </w:rPr>
        <w:t xml:space="preserve">12) </w:t>
      </w:r>
      <w:r w:rsidR="00D54B56" w:rsidRPr="003101B1">
        <w:rPr>
          <w:lang w:val="en-GB" w:eastAsia="ro-MD"/>
        </w:rPr>
        <w:t>liabilities arising from debt instruments with embedded derivatives</w:t>
      </w:r>
      <w:r w:rsidRPr="003101B1">
        <w:rPr>
          <w:lang w:val="en-GB" w:eastAsia="ro-MD"/>
        </w:rPr>
        <w:t>.</w:t>
      </w:r>
      <w:r w:rsidRPr="003101B1">
        <w:rPr>
          <w:sz w:val="18"/>
          <w:szCs w:val="18"/>
          <w:highlight w:val="lightGray"/>
          <w:lang w:val="en-GB" w:eastAsia="ro-MD"/>
        </w:rPr>
        <w:t xml:space="preserve"> </w:t>
      </w:r>
    </w:p>
    <w:p w14:paraId="2944D114" w14:textId="74027D4E" w:rsidR="00F93D86" w:rsidRPr="003101B1" w:rsidRDefault="00F93D86" w:rsidP="001D1370">
      <w:pPr>
        <w:jc w:val="both"/>
        <w:rPr>
          <w:sz w:val="18"/>
          <w:szCs w:val="18"/>
          <w:lang w:val="en-GB" w:eastAsia="ro-MD"/>
        </w:rPr>
      </w:pPr>
      <w:r w:rsidRPr="003101B1">
        <w:rPr>
          <w:b/>
          <w:bCs/>
          <w:lang w:val="en-GB" w:eastAsia="ro-MD"/>
        </w:rPr>
        <w:t>109</w:t>
      </w:r>
      <w:r w:rsidRPr="003101B1">
        <w:rPr>
          <w:b/>
          <w:bCs/>
          <w:vertAlign w:val="superscript"/>
          <w:lang w:val="en-GB" w:eastAsia="ro-MD"/>
        </w:rPr>
        <w:t>3</w:t>
      </w:r>
      <w:r w:rsidRPr="003101B1">
        <w:rPr>
          <w:b/>
          <w:bCs/>
          <w:lang w:val="en-GB" w:eastAsia="ro-MD"/>
        </w:rPr>
        <w:t>.</w:t>
      </w:r>
      <w:r w:rsidRPr="003101B1">
        <w:rPr>
          <w:lang w:val="en-GB" w:eastAsia="ro-MD"/>
        </w:rPr>
        <w:t xml:space="preserve"> </w:t>
      </w:r>
      <w:r w:rsidR="00D54B56" w:rsidRPr="003101B1">
        <w:rPr>
          <w:lang w:val="en-GB" w:eastAsia="ro-MD"/>
        </w:rPr>
        <w:t xml:space="preserve">For the purposes of paragraph </w:t>
      </w:r>
      <w:r w:rsidRPr="003101B1">
        <w:rPr>
          <w:lang w:val="en-GB" w:eastAsia="ro-MD"/>
        </w:rPr>
        <w:t>109</w:t>
      </w:r>
      <w:r w:rsidRPr="003101B1">
        <w:rPr>
          <w:vertAlign w:val="superscript"/>
          <w:lang w:val="en-GB" w:eastAsia="ro-MD"/>
        </w:rPr>
        <w:t>2</w:t>
      </w:r>
      <w:r w:rsidRPr="003101B1">
        <w:rPr>
          <w:lang w:val="en-GB" w:eastAsia="ro-MD"/>
        </w:rPr>
        <w:t xml:space="preserve"> sub</w:t>
      </w:r>
      <w:r w:rsidR="00D54B56" w:rsidRPr="003101B1">
        <w:rPr>
          <w:lang w:val="en-GB" w:eastAsia="ro-MD"/>
        </w:rPr>
        <w:t xml:space="preserve">-paragraph </w:t>
      </w:r>
      <w:r w:rsidRPr="003101B1">
        <w:rPr>
          <w:lang w:val="en-GB" w:eastAsia="ro-MD"/>
        </w:rPr>
        <w:t xml:space="preserve">12), </w:t>
      </w:r>
      <w:r w:rsidR="00D54B56" w:rsidRPr="003101B1">
        <w:rPr>
          <w:lang w:val="en-GB" w:eastAsia="ro-MD"/>
        </w:rPr>
        <w:t>debt instruments containing early redemption options exercisable at the discretion of the issuer or of the holder, and debt instruments with variable interests derived from a broadly used reference rate such as Euribor</w:t>
      </w:r>
      <w:r w:rsidRPr="003101B1">
        <w:rPr>
          <w:lang w:val="en-GB" w:eastAsia="ro-MD"/>
        </w:rPr>
        <w:t xml:space="preserve">, </w:t>
      </w:r>
      <w:r w:rsidR="00D54B56" w:rsidRPr="003101B1">
        <w:rPr>
          <w:lang w:val="en-GB" w:eastAsia="ro-MD"/>
        </w:rPr>
        <w:t>shall not be considered as debt instruments with embedded derivatives solely because of such features</w:t>
      </w:r>
      <w:r w:rsidRPr="003101B1">
        <w:rPr>
          <w:lang w:val="en-GB" w:eastAsia="ro-MD"/>
        </w:rPr>
        <w:t>.</w:t>
      </w:r>
    </w:p>
    <w:p w14:paraId="691F67E0" w14:textId="13545700" w:rsidR="00F93D86" w:rsidRPr="003101B1" w:rsidRDefault="00F93D86" w:rsidP="00FF2FD6">
      <w:pPr>
        <w:spacing w:before="80"/>
        <w:jc w:val="center"/>
        <w:rPr>
          <w:b/>
          <w:bCs/>
          <w:i/>
          <w:iCs/>
          <w:lang w:val="en-GB" w:eastAsia="ro-MD"/>
        </w:rPr>
      </w:pPr>
      <w:r w:rsidRPr="003101B1">
        <w:rPr>
          <w:b/>
          <w:bCs/>
          <w:i/>
          <w:iCs/>
          <w:lang w:val="en-GB" w:eastAsia="ro-MD"/>
        </w:rPr>
        <w:t>Sub</w:t>
      </w:r>
      <w:r w:rsidR="00D54B56" w:rsidRPr="003101B1">
        <w:rPr>
          <w:b/>
          <w:bCs/>
          <w:i/>
          <w:iCs/>
          <w:lang w:val="en-GB" w:eastAsia="ro-MD"/>
        </w:rPr>
        <w:t>section</w:t>
      </w:r>
      <w:r w:rsidRPr="003101B1">
        <w:rPr>
          <w:b/>
          <w:bCs/>
          <w:i/>
          <w:iCs/>
          <w:lang w:val="en-GB" w:eastAsia="ro-MD"/>
        </w:rPr>
        <w:t xml:space="preserve"> 2</w:t>
      </w:r>
    </w:p>
    <w:p w14:paraId="74E0DC21" w14:textId="709F9357" w:rsidR="00F93D86" w:rsidRPr="003101B1" w:rsidRDefault="00D54B56" w:rsidP="00F93D86">
      <w:pPr>
        <w:jc w:val="center"/>
        <w:rPr>
          <w:b/>
          <w:bCs/>
          <w:i/>
          <w:iCs/>
          <w:lang w:val="en-GB" w:eastAsia="ro-MD"/>
        </w:rPr>
      </w:pPr>
      <w:r w:rsidRPr="003101B1">
        <w:rPr>
          <w:b/>
          <w:bCs/>
          <w:i/>
          <w:iCs/>
          <w:lang w:val="en-GB" w:eastAsia="ro-MD"/>
        </w:rPr>
        <w:t>Eligible liabilities instruments</w:t>
      </w:r>
    </w:p>
    <w:p w14:paraId="06470680" w14:textId="204905F6"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4</w:t>
      </w:r>
      <w:r w:rsidRPr="003101B1">
        <w:rPr>
          <w:b/>
          <w:bCs/>
          <w:lang w:val="en-GB" w:eastAsia="ro-MD"/>
        </w:rPr>
        <w:t>.</w:t>
      </w:r>
      <w:r w:rsidRPr="003101B1">
        <w:rPr>
          <w:lang w:val="en-GB" w:eastAsia="ro-MD"/>
        </w:rPr>
        <w:t xml:space="preserve"> </w:t>
      </w:r>
      <w:r w:rsidR="00D54B56" w:rsidRPr="003101B1">
        <w:rPr>
          <w:lang w:val="en-GB" w:eastAsia="ro-MD"/>
        </w:rPr>
        <w:t>Liabilities shall qualify as eligible liabilities instruments if they comply with the conditions laid down in this Subsection and only to the extent specified in this Subsection</w:t>
      </w:r>
      <w:r w:rsidRPr="003101B1">
        <w:rPr>
          <w:lang w:val="en-GB" w:eastAsia="ro-MD"/>
        </w:rPr>
        <w:t>.</w:t>
      </w:r>
      <w:r w:rsidRPr="003101B1">
        <w:rPr>
          <w:sz w:val="18"/>
          <w:szCs w:val="18"/>
          <w:highlight w:val="lightGray"/>
          <w:lang w:val="en-GB" w:eastAsia="ro-MD"/>
        </w:rPr>
        <w:t xml:space="preserve"> </w:t>
      </w:r>
    </w:p>
    <w:p w14:paraId="6DD102A3" w14:textId="2B865E7B"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5</w:t>
      </w:r>
      <w:r w:rsidRPr="003101B1">
        <w:rPr>
          <w:b/>
          <w:bCs/>
          <w:lang w:val="en-GB" w:eastAsia="ro-MD"/>
        </w:rPr>
        <w:t>.</w:t>
      </w:r>
      <w:r w:rsidRPr="003101B1">
        <w:rPr>
          <w:lang w:val="en-GB" w:eastAsia="ro-MD"/>
        </w:rPr>
        <w:t xml:space="preserve"> </w:t>
      </w:r>
      <w:r w:rsidR="00D54B56" w:rsidRPr="003101B1">
        <w:rPr>
          <w:lang w:val="en-GB" w:eastAsia="ro-MD"/>
        </w:rPr>
        <w:t>Liabilities shall qualify as eligible liabilities instruments, provided that all the following conditions are met</w:t>
      </w:r>
      <w:r w:rsidRPr="003101B1">
        <w:rPr>
          <w:lang w:val="en-GB" w:eastAsia="ro-MD"/>
        </w:rPr>
        <w:t>:</w:t>
      </w:r>
    </w:p>
    <w:p w14:paraId="38A4F2F6" w14:textId="643D242D" w:rsidR="00851058" w:rsidRPr="003101B1" w:rsidRDefault="00F93D86" w:rsidP="00851058">
      <w:pPr>
        <w:jc w:val="both"/>
        <w:rPr>
          <w:lang w:val="en-GB" w:eastAsia="ro-MD"/>
        </w:rPr>
      </w:pPr>
      <w:r w:rsidRPr="003101B1">
        <w:rPr>
          <w:lang w:val="en-GB" w:eastAsia="ro-MD"/>
        </w:rPr>
        <w:t xml:space="preserve">1) </w:t>
      </w:r>
      <w:r w:rsidR="00D54B56" w:rsidRPr="003101B1">
        <w:rPr>
          <w:lang w:val="en-GB" w:eastAsia="ro-MD"/>
        </w:rPr>
        <w:t>the liabilities are issued directly or, as the case may be, obtained directly by a bank and are paid in full. Only the parts of liabilities that have been fully paid are eligible to qualify as eligible liabilities instruments</w:t>
      </w:r>
      <w:r w:rsidR="00851058" w:rsidRPr="003101B1">
        <w:rPr>
          <w:lang w:val="en-GB" w:eastAsia="ro-MD"/>
        </w:rPr>
        <w:t>;</w:t>
      </w:r>
    </w:p>
    <w:p w14:paraId="2B098A21" w14:textId="35174D54" w:rsidR="00851058" w:rsidRPr="003101B1" w:rsidRDefault="00851058" w:rsidP="00851058">
      <w:pPr>
        <w:jc w:val="both"/>
        <w:rPr>
          <w:lang w:val="en-GB" w:eastAsia="ro-MD"/>
        </w:rPr>
      </w:pPr>
      <w:r w:rsidRPr="003101B1">
        <w:rPr>
          <w:lang w:val="en-GB" w:eastAsia="ro-MD"/>
        </w:rPr>
        <w:t xml:space="preserve">2) </w:t>
      </w:r>
      <w:r w:rsidR="00D54B56" w:rsidRPr="003101B1">
        <w:rPr>
          <w:lang w:val="en-GB" w:eastAsia="ro-MD"/>
        </w:rPr>
        <w:t>the liabilities are not owned by any of the following</w:t>
      </w:r>
      <w:r w:rsidRPr="003101B1">
        <w:rPr>
          <w:lang w:val="en-GB" w:eastAsia="ro-MD"/>
        </w:rPr>
        <w:t>:</w:t>
      </w:r>
    </w:p>
    <w:p w14:paraId="2804E7C3" w14:textId="08AF50E9" w:rsidR="00851058" w:rsidRPr="003101B1" w:rsidRDefault="00851058" w:rsidP="00851058">
      <w:pPr>
        <w:jc w:val="both"/>
        <w:rPr>
          <w:lang w:val="en-GB" w:eastAsia="ro-MD"/>
        </w:rPr>
      </w:pPr>
      <w:r w:rsidRPr="003101B1">
        <w:rPr>
          <w:lang w:val="en-GB" w:eastAsia="ro-MD"/>
        </w:rPr>
        <w:t xml:space="preserve">a) </w:t>
      </w:r>
      <w:r w:rsidR="00D53208" w:rsidRPr="003101B1">
        <w:rPr>
          <w:lang w:val="en-GB" w:eastAsia="ro-MD"/>
        </w:rPr>
        <w:t>the bank or an entity included in the same resolution group</w:t>
      </w:r>
      <w:r w:rsidRPr="003101B1">
        <w:rPr>
          <w:lang w:val="en-GB" w:eastAsia="ro-MD"/>
        </w:rPr>
        <w:t>;</w:t>
      </w:r>
    </w:p>
    <w:p w14:paraId="5F3BDA29" w14:textId="41BB0091" w:rsidR="00851058" w:rsidRPr="003101B1" w:rsidRDefault="00851058" w:rsidP="00851058">
      <w:pPr>
        <w:jc w:val="both"/>
        <w:rPr>
          <w:lang w:val="en-GB" w:eastAsia="ro-MD"/>
        </w:rPr>
      </w:pPr>
      <w:r w:rsidRPr="003101B1">
        <w:rPr>
          <w:lang w:val="en-GB" w:eastAsia="ro-MD"/>
        </w:rPr>
        <w:t xml:space="preserve">b) </w:t>
      </w:r>
      <w:r w:rsidR="00D53208" w:rsidRPr="003101B1">
        <w:rPr>
          <w:lang w:val="en-GB" w:eastAsia="ro-MD"/>
        </w:rPr>
        <w:t>by an undertaking in which the bank has a direct or indirect participation in the form of ownership, direct or by way of control, of 20 % or more of the voting rights or capital of that undertaking</w:t>
      </w:r>
      <w:r w:rsidRPr="003101B1">
        <w:rPr>
          <w:lang w:val="en-GB" w:eastAsia="ro-MD"/>
        </w:rPr>
        <w:t>;</w:t>
      </w:r>
    </w:p>
    <w:p w14:paraId="4CC6199E" w14:textId="580897A4" w:rsidR="00851058" w:rsidRPr="003101B1" w:rsidRDefault="00851058" w:rsidP="00851058">
      <w:pPr>
        <w:jc w:val="both"/>
        <w:rPr>
          <w:lang w:val="en-GB" w:eastAsia="ro-MD"/>
        </w:rPr>
      </w:pPr>
      <w:r w:rsidRPr="003101B1">
        <w:rPr>
          <w:lang w:val="en-GB" w:eastAsia="ro-MD"/>
        </w:rPr>
        <w:t xml:space="preserve">3) </w:t>
      </w:r>
      <w:r w:rsidR="00D53208" w:rsidRPr="003101B1">
        <w:rPr>
          <w:lang w:val="en-GB" w:eastAsia="ro-MD"/>
        </w:rPr>
        <w:t>the acquisition of ownership of liabilities is not funded directly or indirectly by the resolution entity</w:t>
      </w:r>
      <w:r w:rsidRPr="003101B1">
        <w:rPr>
          <w:lang w:val="en-GB" w:eastAsia="ro-MD"/>
        </w:rPr>
        <w:t>;</w:t>
      </w:r>
    </w:p>
    <w:p w14:paraId="065F1284" w14:textId="0794FF55" w:rsidR="00F93D86" w:rsidRPr="003101B1" w:rsidRDefault="00851058" w:rsidP="00851058">
      <w:pPr>
        <w:jc w:val="both"/>
        <w:rPr>
          <w:lang w:val="en-GB" w:eastAsia="ro-MD"/>
        </w:rPr>
      </w:pPr>
      <w:r w:rsidRPr="003101B1">
        <w:rPr>
          <w:lang w:val="en-GB" w:eastAsia="ro-MD"/>
        </w:rPr>
        <w:t xml:space="preserve">4) </w:t>
      </w:r>
      <w:r w:rsidR="00D53208" w:rsidRPr="003101B1">
        <w:rPr>
          <w:lang w:val="en-GB" w:eastAsia="ro-MD"/>
        </w:rPr>
        <w:t xml:space="preserve">the claim on the principal amount of the liabilities under the provisions governing the instruments is wholly subordinated to claims arising from the excluded liabilities referred to in paragraph </w:t>
      </w:r>
      <w:r w:rsidR="00F93D86" w:rsidRPr="003101B1">
        <w:rPr>
          <w:lang w:val="en-GB" w:eastAsia="ro-MD"/>
        </w:rPr>
        <w:t>109</w:t>
      </w:r>
      <w:r w:rsidR="00F93D86" w:rsidRPr="003101B1">
        <w:rPr>
          <w:vertAlign w:val="superscript"/>
          <w:lang w:val="en-GB" w:eastAsia="ro-MD"/>
        </w:rPr>
        <w:t>2</w:t>
      </w:r>
      <w:r w:rsidR="00F93D86" w:rsidRPr="003101B1">
        <w:rPr>
          <w:lang w:val="en-GB" w:eastAsia="ro-MD"/>
        </w:rPr>
        <w:t xml:space="preserve">. </w:t>
      </w:r>
      <w:r w:rsidR="00D53208" w:rsidRPr="003101B1">
        <w:rPr>
          <w:lang w:val="en-GB" w:eastAsia="ro-MD"/>
        </w:rPr>
        <w:t>The subordination requirement shall be considered to be met in any of the following situations</w:t>
      </w:r>
      <w:r w:rsidR="00F93D86" w:rsidRPr="003101B1">
        <w:rPr>
          <w:lang w:val="en-GB" w:eastAsia="ro-MD"/>
        </w:rPr>
        <w:t>:</w:t>
      </w:r>
    </w:p>
    <w:p w14:paraId="085609A1" w14:textId="7A1A5EBB" w:rsidR="00F93D86" w:rsidRPr="003101B1" w:rsidRDefault="00F93D86" w:rsidP="001D1370">
      <w:pPr>
        <w:jc w:val="both"/>
        <w:rPr>
          <w:lang w:val="en-GB" w:eastAsia="ro-MD"/>
        </w:rPr>
      </w:pPr>
      <w:r w:rsidRPr="003101B1">
        <w:rPr>
          <w:lang w:val="en-GB" w:eastAsia="ro-MD"/>
        </w:rPr>
        <w:t xml:space="preserve">a) </w:t>
      </w:r>
      <w:r w:rsidR="00D53208" w:rsidRPr="003101B1">
        <w:rPr>
          <w:lang w:val="en-GB" w:eastAsia="ro-MD"/>
        </w:rPr>
        <w:t xml:space="preserve">the contractual provisions governing the liabilities specify that in the event of normal insolvency proceedings as defined in Law No 232/2016, the claim on the principal amount of the instruments ranks below claims arising from any of the excluded liabilities referred to in paragraph </w:t>
      </w:r>
      <w:r w:rsidRPr="003101B1">
        <w:rPr>
          <w:lang w:val="en-GB" w:eastAsia="ro-MD"/>
        </w:rPr>
        <w:t>109</w:t>
      </w:r>
      <w:r w:rsidRPr="003101B1">
        <w:rPr>
          <w:vertAlign w:val="superscript"/>
          <w:lang w:val="en-GB" w:eastAsia="ro-MD"/>
        </w:rPr>
        <w:t>2</w:t>
      </w:r>
      <w:r w:rsidRPr="003101B1">
        <w:rPr>
          <w:lang w:val="en-GB" w:eastAsia="ro-MD"/>
        </w:rPr>
        <w:t>;</w:t>
      </w:r>
    </w:p>
    <w:p w14:paraId="67BC1763" w14:textId="673E20E2" w:rsidR="00F93D86" w:rsidRPr="003101B1" w:rsidRDefault="00F93D86" w:rsidP="001D1370">
      <w:pPr>
        <w:jc w:val="both"/>
        <w:rPr>
          <w:lang w:val="en-GB" w:eastAsia="ro-MD"/>
        </w:rPr>
      </w:pPr>
      <w:r w:rsidRPr="003101B1">
        <w:rPr>
          <w:lang w:val="en-GB" w:eastAsia="ro-MD"/>
        </w:rPr>
        <w:t xml:space="preserve">b) </w:t>
      </w:r>
      <w:r w:rsidR="00D53208" w:rsidRPr="003101B1">
        <w:rPr>
          <w:lang w:val="en-GB" w:eastAsia="ro-MD"/>
        </w:rPr>
        <w:t>the applicable law specifies that in the event of compulsory liquidation proceedings of the bank as defined in Law No 232/2016, the claim on the principal amount of the instruments ranks below claims arising from any of the excluded liabilities referred to in paragraph</w:t>
      </w:r>
      <w:r w:rsidRPr="003101B1">
        <w:rPr>
          <w:lang w:val="en-GB" w:eastAsia="ro-MD"/>
        </w:rPr>
        <w:t xml:space="preserve"> 109</w:t>
      </w:r>
      <w:r w:rsidRPr="003101B1">
        <w:rPr>
          <w:vertAlign w:val="superscript"/>
          <w:lang w:val="en-GB" w:eastAsia="ro-MD"/>
        </w:rPr>
        <w:t>2</w:t>
      </w:r>
      <w:r w:rsidRPr="003101B1">
        <w:rPr>
          <w:lang w:val="en-GB" w:eastAsia="ro-MD"/>
        </w:rPr>
        <w:t>;</w:t>
      </w:r>
    </w:p>
    <w:p w14:paraId="35DA301E" w14:textId="7F57C9D2" w:rsidR="00F93D86" w:rsidRPr="003101B1" w:rsidRDefault="00F93D86" w:rsidP="001D1370">
      <w:pPr>
        <w:jc w:val="both"/>
        <w:rPr>
          <w:lang w:val="en-GB" w:eastAsia="ro-MD"/>
        </w:rPr>
      </w:pPr>
      <w:r w:rsidRPr="003101B1">
        <w:rPr>
          <w:lang w:val="en-GB" w:eastAsia="ro-MD"/>
        </w:rPr>
        <w:t xml:space="preserve">c) </w:t>
      </w:r>
      <w:r w:rsidR="00D53208" w:rsidRPr="003101B1">
        <w:rPr>
          <w:lang w:val="en-GB" w:eastAsia="ro-MD"/>
        </w:rPr>
        <w:t xml:space="preserve">the instruments are issued by a resolution entity on whose balance sheet there are no excluded liabilities as referred to in paragraph </w:t>
      </w:r>
      <w:r w:rsidRPr="003101B1">
        <w:rPr>
          <w:lang w:val="en-GB" w:eastAsia="ro-MD"/>
        </w:rPr>
        <w:t>109</w:t>
      </w:r>
      <w:r w:rsidRPr="003101B1">
        <w:rPr>
          <w:vertAlign w:val="superscript"/>
          <w:lang w:val="en-GB" w:eastAsia="ro-MD"/>
        </w:rPr>
        <w:t>2</w:t>
      </w:r>
      <w:r w:rsidRPr="003101B1">
        <w:rPr>
          <w:lang w:val="en-GB" w:eastAsia="ro-MD"/>
        </w:rPr>
        <w:t xml:space="preserve">, </w:t>
      </w:r>
      <w:r w:rsidR="00D53208" w:rsidRPr="003101B1">
        <w:rPr>
          <w:lang w:val="en-GB" w:eastAsia="ro-MD"/>
        </w:rPr>
        <w:t>that rank pari passu or junior to eligible liabilities instruments</w:t>
      </w:r>
      <w:r w:rsidRPr="003101B1">
        <w:rPr>
          <w:lang w:val="en-GB" w:eastAsia="ro-MD"/>
        </w:rPr>
        <w:t>;</w:t>
      </w:r>
      <w:r w:rsidRPr="003101B1">
        <w:rPr>
          <w:sz w:val="18"/>
          <w:szCs w:val="18"/>
          <w:highlight w:val="lightGray"/>
          <w:lang w:val="en-GB" w:eastAsia="ro-MD"/>
        </w:rPr>
        <w:t xml:space="preserve"> </w:t>
      </w:r>
    </w:p>
    <w:p w14:paraId="0E74D21B" w14:textId="3C493228" w:rsidR="00F93D86" w:rsidRPr="003101B1" w:rsidRDefault="00851058" w:rsidP="001D1370">
      <w:pPr>
        <w:jc w:val="both"/>
        <w:rPr>
          <w:lang w:val="en-GB" w:eastAsia="ro-MD"/>
        </w:rPr>
      </w:pPr>
      <w:r w:rsidRPr="003101B1">
        <w:rPr>
          <w:lang w:val="en-GB" w:eastAsia="ro-MD"/>
        </w:rPr>
        <w:t>5</w:t>
      </w:r>
      <w:r w:rsidR="00F93D86" w:rsidRPr="003101B1">
        <w:rPr>
          <w:lang w:val="en-GB" w:eastAsia="ro-MD"/>
        </w:rPr>
        <w:t xml:space="preserve">) </w:t>
      </w:r>
      <w:r w:rsidR="00D53208" w:rsidRPr="003101B1">
        <w:rPr>
          <w:lang w:val="en-GB" w:eastAsia="ro-MD"/>
        </w:rPr>
        <w:t>the liabilities are neither secured, nor subject to a guarantee or any other arrangement that enhances the seniority of the claim by any of the following</w:t>
      </w:r>
      <w:r w:rsidR="00F93D86" w:rsidRPr="003101B1">
        <w:rPr>
          <w:lang w:val="en-GB" w:eastAsia="ro-MD"/>
        </w:rPr>
        <w:t>:</w:t>
      </w:r>
    </w:p>
    <w:p w14:paraId="32AD1C2B" w14:textId="1BCD2716" w:rsidR="00F93D86" w:rsidRPr="003101B1" w:rsidRDefault="00F93D86" w:rsidP="001D1370">
      <w:pPr>
        <w:jc w:val="both"/>
        <w:rPr>
          <w:lang w:val="en-GB" w:eastAsia="ro-MD"/>
        </w:rPr>
      </w:pPr>
      <w:r w:rsidRPr="003101B1">
        <w:rPr>
          <w:lang w:val="en-GB" w:eastAsia="ro-MD"/>
        </w:rPr>
        <w:t xml:space="preserve">a) </w:t>
      </w:r>
      <w:r w:rsidR="00D53208" w:rsidRPr="003101B1">
        <w:rPr>
          <w:lang w:val="en-GB" w:eastAsia="ro-MD"/>
        </w:rPr>
        <w:t>the bank or its subsidiaries</w:t>
      </w:r>
      <w:r w:rsidRPr="003101B1">
        <w:rPr>
          <w:lang w:val="en-GB" w:eastAsia="ro-MD"/>
        </w:rPr>
        <w:t>;</w:t>
      </w:r>
    </w:p>
    <w:p w14:paraId="361E669A" w14:textId="1CB2F137" w:rsidR="00F93D86" w:rsidRPr="003101B1" w:rsidRDefault="00F93D86" w:rsidP="001D1370">
      <w:pPr>
        <w:jc w:val="both"/>
        <w:rPr>
          <w:lang w:val="en-GB" w:eastAsia="ro-MD"/>
        </w:rPr>
      </w:pPr>
      <w:r w:rsidRPr="003101B1">
        <w:rPr>
          <w:lang w:val="en-GB" w:eastAsia="ro-MD"/>
        </w:rPr>
        <w:t xml:space="preserve">b) </w:t>
      </w:r>
      <w:r w:rsidR="00D53208" w:rsidRPr="003101B1">
        <w:rPr>
          <w:lang w:val="en-GB" w:eastAsia="ro-MD"/>
        </w:rPr>
        <w:t>the parent undertaking of the bank or its subsidiaries</w:t>
      </w:r>
      <w:r w:rsidRPr="003101B1">
        <w:rPr>
          <w:lang w:val="en-GB" w:eastAsia="ro-MD"/>
        </w:rPr>
        <w:t>;</w:t>
      </w:r>
    </w:p>
    <w:p w14:paraId="4752F8A3" w14:textId="2A1985E5" w:rsidR="00F93D86" w:rsidRPr="003101B1" w:rsidRDefault="00F93D86" w:rsidP="001D1370">
      <w:pPr>
        <w:jc w:val="both"/>
        <w:rPr>
          <w:lang w:val="en-GB" w:eastAsia="ro-MD"/>
        </w:rPr>
      </w:pPr>
      <w:r w:rsidRPr="003101B1">
        <w:rPr>
          <w:lang w:val="en-GB" w:eastAsia="ro-MD"/>
        </w:rPr>
        <w:t xml:space="preserve">c) </w:t>
      </w:r>
      <w:r w:rsidR="00D53208" w:rsidRPr="003101B1">
        <w:rPr>
          <w:lang w:val="en-GB" w:eastAsia="ro-MD"/>
        </w:rPr>
        <w:t>any undertaking that has close links with entities referred to in letters a) and b</w:t>
      </w:r>
      <w:r w:rsidRPr="003101B1">
        <w:rPr>
          <w:lang w:val="en-GB" w:eastAsia="ro-MD"/>
        </w:rPr>
        <w:t>);</w:t>
      </w:r>
      <w:r w:rsidRPr="003101B1">
        <w:rPr>
          <w:sz w:val="18"/>
          <w:szCs w:val="18"/>
          <w:highlight w:val="lightGray"/>
          <w:lang w:val="en-GB" w:eastAsia="ro-MD"/>
        </w:rPr>
        <w:t xml:space="preserve"> </w:t>
      </w:r>
    </w:p>
    <w:p w14:paraId="6230AEB9" w14:textId="5F6EACDE" w:rsidR="00851058" w:rsidRPr="003101B1" w:rsidRDefault="00851058" w:rsidP="00851058">
      <w:pPr>
        <w:jc w:val="both"/>
        <w:rPr>
          <w:lang w:val="en-GB" w:eastAsia="ro-MD"/>
        </w:rPr>
      </w:pPr>
      <w:r w:rsidRPr="003101B1">
        <w:rPr>
          <w:lang w:val="en-GB" w:eastAsia="ro-MD"/>
        </w:rPr>
        <w:t xml:space="preserve">6) </w:t>
      </w:r>
      <w:r w:rsidR="00D53208" w:rsidRPr="003101B1">
        <w:rPr>
          <w:lang w:val="en-GB" w:eastAsia="ro-MD"/>
        </w:rPr>
        <w:t>the liabilities are not subject to set-off or netting arrangements that would undermine their capacity to absorb losses in resolution</w:t>
      </w:r>
      <w:r w:rsidRPr="003101B1">
        <w:rPr>
          <w:lang w:val="en-GB" w:eastAsia="ro-MD"/>
        </w:rPr>
        <w:t>;</w:t>
      </w:r>
    </w:p>
    <w:p w14:paraId="00ABD9E9" w14:textId="78988703" w:rsidR="00851058" w:rsidRPr="003101B1" w:rsidRDefault="00851058" w:rsidP="00851058">
      <w:pPr>
        <w:jc w:val="both"/>
        <w:rPr>
          <w:lang w:val="en-GB" w:eastAsia="ro-MD"/>
        </w:rPr>
      </w:pPr>
      <w:r w:rsidRPr="003101B1">
        <w:rPr>
          <w:lang w:val="en-GB" w:eastAsia="ro-MD"/>
        </w:rPr>
        <w:t xml:space="preserve">7) </w:t>
      </w:r>
      <w:r w:rsidR="00D53208" w:rsidRPr="003101B1">
        <w:rPr>
          <w:lang w:val="en-GB" w:eastAsia="ro-MD"/>
        </w:rPr>
        <w:t xml:space="preserve">the provisions governing the liabilities do not include any incentive for their principal amount to be called, redeemed, repurchased or repaid early by the bank, as applicable, except in the cases referred to in paragraph. </w:t>
      </w:r>
      <w:r w:rsidRPr="003101B1">
        <w:rPr>
          <w:lang w:val="en-GB" w:eastAsia="ro-MD"/>
        </w:rPr>
        <w:t>109</w:t>
      </w:r>
      <w:r w:rsidRPr="003101B1">
        <w:rPr>
          <w:vertAlign w:val="superscript"/>
          <w:lang w:val="en-GB" w:eastAsia="ro-MD"/>
        </w:rPr>
        <w:t>15</w:t>
      </w:r>
      <w:r w:rsidRPr="003101B1">
        <w:rPr>
          <w:lang w:val="en-GB" w:eastAsia="ro-MD"/>
        </w:rPr>
        <w:t>;</w:t>
      </w:r>
    </w:p>
    <w:p w14:paraId="742A8B8E" w14:textId="0E5041D8" w:rsidR="00851058" w:rsidRPr="003101B1" w:rsidRDefault="00851058" w:rsidP="00851058">
      <w:pPr>
        <w:jc w:val="both"/>
        <w:rPr>
          <w:lang w:val="en-GB" w:eastAsia="ro-MD"/>
        </w:rPr>
      </w:pPr>
      <w:r w:rsidRPr="003101B1">
        <w:rPr>
          <w:lang w:val="en-GB" w:eastAsia="ro-MD"/>
        </w:rPr>
        <w:t xml:space="preserve">8) </w:t>
      </w:r>
      <w:r w:rsidR="00D53208" w:rsidRPr="003101B1">
        <w:rPr>
          <w:lang w:val="en-GB" w:eastAsia="ro-MD"/>
        </w:rPr>
        <w:t xml:space="preserve">the liabilities are not redeemable by the holders of the instruments prior to their maturity, except in the cases referred to in paragraph </w:t>
      </w:r>
      <w:r w:rsidRPr="003101B1">
        <w:rPr>
          <w:lang w:val="en-GB" w:eastAsia="ro-MD"/>
        </w:rPr>
        <w:t>109</w:t>
      </w:r>
      <w:r w:rsidRPr="003101B1">
        <w:rPr>
          <w:vertAlign w:val="superscript"/>
          <w:lang w:val="en-GB" w:eastAsia="ro-MD"/>
        </w:rPr>
        <w:t>14</w:t>
      </w:r>
      <w:r w:rsidRPr="003101B1">
        <w:rPr>
          <w:lang w:val="en-GB" w:eastAsia="ro-MD"/>
        </w:rPr>
        <w:t>;</w:t>
      </w:r>
    </w:p>
    <w:p w14:paraId="5519651F" w14:textId="4AE6000F" w:rsidR="00F93D86" w:rsidRPr="003101B1" w:rsidRDefault="00851058" w:rsidP="001D1370">
      <w:pPr>
        <w:jc w:val="both"/>
        <w:rPr>
          <w:sz w:val="18"/>
          <w:szCs w:val="18"/>
          <w:lang w:val="en-GB" w:eastAsia="ro-MD"/>
        </w:rPr>
      </w:pPr>
      <w:r w:rsidRPr="003101B1">
        <w:rPr>
          <w:lang w:val="en-GB" w:eastAsia="ro-MD"/>
        </w:rPr>
        <w:t>9</w:t>
      </w:r>
      <w:r w:rsidR="00F93D86" w:rsidRPr="003101B1">
        <w:rPr>
          <w:lang w:val="en-GB" w:eastAsia="ro-MD"/>
        </w:rPr>
        <w:t xml:space="preserve">) </w:t>
      </w:r>
      <w:r w:rsidR="00EE3229" w:rsidRPr="003101B1">
        <w:rPr>
          <w:lang w:val="en-GB" w:eastAsia="ro-MD"/>
        </w:rPr>
        <w:t xml:space="preserve">subject to paragraphs </w:t>
      </w:r>
      <w:r w:rsidR="00F93D86" w:rsidRPr="003101B1">
        <w:rPr>
          <w:lang w:val="en-GB" w:eastAsia="ro-MD"/>
        </w:rPr>
        <w:t>109</w:t>
      </w:r>
      <w:r w:rsidR="00F93D86" w:rsidRPr="003101B1">
        <w:rPr>
          <w:vertAlign w:val="superscript"/>
          <w:lang w:val="en-GB" w:eastAsia="ro-MD"/>
        </w:rPr>
        <w:t>15</w:t>
      </w:r>
      <w:r w:rsidR="00A972E7" w:rsidRPr="003101B1">
        <w:rPr>
          <w:lang w:val="en-GB" w:eastAsia="ro-MD"/>
        </w:rPr>
        <w:t xml:space="preserve"> </w:t>
      </w:r>
      <w:r w:rsidR="00EE3229" w:rsidRPr="003101B1">
        <w:rPr>
          <w:lang w:val="en-GB" w:eastAsia="ro-MD"/>
        </w:rPr>
        <w:t>and</w:t>
      </w:r>
      <w:r w:rsidR="00A972E7" w:rsidRPr="003101B1">
        <w:rPr>
          <w:lang w:val="en-GB" w:eastAsia="ro-MD"/>
        </w:rPr>
        <w:t xml:space="preserve"> </w:t>
      </w:r>
      <w:r w:rsidR="00F93D86" w:rsidRPr="003101B1">
        <w:rPr>
          <w:lang w:val="en-GB" w:eastAsia="ro-MD"/>
        </w:rPr>
        <w:t>109</w:t>
      </w:r>
      <w:r w:rsidR="00F93D86" w:rsidRPr="003101B1">
        <w:rPr>
          <w:vertAlign w:val="superscript"/>
          <w:lang w:val="en-GB" w:eastAsia="ro-MD"/>
        </w:rPr>
        <w:t>16</w:t>
      </w:r>
      <w:r w:rsidR="00F93D86" w:rsidRPr="003101B1">
        <w:rPr>
          <w:lang w:val="en-GB" w:eastAsia="ro-MD"/>
        </w:rPr>
        <w:t xml:space="preserve">, </w:t>
      </w:r>
      <w:r w:rsidR="00EE3229" w:rsidRPr="003101B1">
        <w:rPr>
          <w:lang w:val="en-GB" w:eastAsia="ro-MD"/>
        </w:rPr>
        <w:t>where the liabilities include one or more early repayment options, including call options, the options are exercisable at the sole discretion of the issuer, except in the cases set out in paragraph</w:t>
      </w:r>
      <w:r w:rsidR="00F93D86" w:rsidRPr="003101B1">
        <w:rPr>
          <w:lang w:val="en-GB" w:eastAsia="ro-MD"/>
        </w:rPr>
        <w:t xml:space="preserve"> 109</w:t>
      </w:r>
      <w:r w:rsidR="00F93D86" w:rsidRPr="003101B1">
        <w:rPr>
          <w:vertAlign w:val="superscript"/>
          <w:lang w:val="en-GB" w:eastAsia="ro-MD"/>
        </w:rPr>
        <w:t>14</w:t>
      </w:r>
      <w:r w:rsidR="00F93D86" w:rsidRPr="003101B1">
        <w:rPr>
          <w:lang w:val="en-GB" w:eastAsia="ro-MD"/>
        </w:rPr>
        <w:t>;</w:t>
      </w:r>
      <w:r w:rsidR="00F93D86" w:rsidRPr="003101B1">
        <w:rPr>
          <w:sz w:val="18"/>
          <w:szCs w:val="18"/>
          <w:highlight w:val="lightGray"/>
          <w:lang w:val="en-GB" w:eastAsia="ro-MD"/>
        </w:rPr>
        <w:t xml:space="preserve"> </w:t>
      </w:r>
    </w:p>
    <w:p w14:paraId="79E8ACB5" w14:textId="35F32CB5" w:rsidR="00851058" w:rsidRPr="003101B1" w:rsidRDefault="00851058" w:rsidP="00851058">
      <w:pPr>
        <w:jc w:val="both"/>
        <w:rPr>
          <w:lang w:val="en-GB" w:eastAsia="ro-MD"/>
        </w:rPr>
      </w:pPr>
      <w:r w:rsidRPr="003101B1">
        <w:rPr>
          <w:lang w:val="en-GB" w:eastAsia="ro-MD"/>
        </w:rPr>
        <w:t xml:space="preserve">10) </w:t>
      </w:r>
      <w:r w:rsidR="00EE3229" w:rsidRPr="003101B1">
        <w:rPr>
          <w:lang w:val="en-GB" w:eastAsia="ro-MD"/>
        </w:rPr>
        <w:t xml:space="preserve">call options may be exercised and liabilities may be redeemed or repaid early only if the conditions in paragraphs </w:t>
      </w:r>
      <w:r w:rsidRPr="003101B1">
        <w:rPr>
          <w:lang w:val="en-GB" w:eastAsia="ro-MD"/>
        </w:rPr>
        <w:t>119-119</w:t>
      </w:r>
      <w:r w:rsidRPr="003101B1">
        <w:rPr>
          <w:vertAlign w:val="superscript"/>
          <w:lang w:val="en-GB" w:eastAsia="ro-MD"/>
        </w:rPr>
        <w:t>1</w:t>
      </w:r>
      <w:r w:rsidRPr="003101B1">
        <w:rPr>
          <w:lang w:val="en-GB" w:eastAsia="ro-MD"/>
        </w:rPr>
        <w:t xml:space="preserve"> </w:t>
      </w:r>
      <w:r w:rsidR="00EE3229" w:rsidRPr="003101B1">
        <w:rPr>
          <w:lang w:val="en-GB" w:eastAsia="ro-MD"/>
        </w:rPr>
        <w:t>and</w:t>
      </w:r>
      <w:r w:rsidRPr="003101B1">
        <w:rPr>
          <w:lang w:val="en-GB" w:eastAsia="ro-MD"/>
        </w:rPr>
        <w:t xml:space="preserve"> 125</w:t>
      </w:r>
      <w:r w:rsidRPr="003101B1">
        <w:rPr>
          <w:vertAlign w:val="superscript"/>
          <w:lang w:val="en-GB" w:eastAsia="ro-MD"/>
        </w:rPr>
        <w:t>1</w:t>
      </w:r>
      <w:r w:rsidRPr="003101B1">
        <w:rPr>
          <w:lang w:val="en-GB" w:eastAsia="ro-MD"/>
        </w:rPr>
        <w:t>-125</w:t>
      </w:r>
      <w:r w:rsidRPr="003101B1">
        <w:rPr>
          <w:vertAlign w:val="superscript"/>
          <w:lang w:val="en-GB" w:eastAsia="ro-MD"/>
        </w:rPr>
        <w:t>3</w:t>
      </w:r>
      <w:r w:rsidRPr="003101B1">
        <w:rPr>
          <w:lang w:val="en-GB" w:eastAsia="ro-MD"/>
        </w:rPr>
        <w:t>;</w:t>
      </w:r>
    </w:p>
    <w:p w14:paraId="6E369A4E" w14:textId="081F8CDF" w:rsidR="00851058" w:rsidRPr="003101B1" w:rsidRDefault="00851058" w:rsidP="00851058">
      <w:pPr>
        <w:jc w:val="both"/>
        <w:rPr>
          <w:lang w:val="en-GB" w:eastAsia="ro-MD"/>
        </w:rPr>
      </w:pPr>
      <w:r w:rsidRPr="003101B1">
        <w:rPr>
          <w:lang w:val="en-GB" w:eastAsia="ro-MD"/>
        </w:rPr>
        <w:t xml:space="preserve">11) </w:t>
      </w:r>
      <w:r w:rsidR="00EE3229" w:rsidRPr="003101B1">
        <w:rPr>
          <w:lang w:val="en-GB" w:eastAsia="ro-MD"/>
        </w:rPr>
        <w:t>the provisions governing the liabilities do not indicate explicitly or implicitly that the liabilities would be called, redeemed, repaid or rep</w:t>
      </w:r>
      <w:r w:rsidR="001D15FD" w:rsidRPr="003101B1">
        <w:rPr>
          <w:lang w:val="en-GB" w:eastAsia="ro-MD"/>
        </w:rPr>
        <w:t>urchased</w:t>
      </w:r>
      <w:r w:rsidR="00EE3229" w:rsidRPr="003101B1">
        <w:rPr>
          <w:lang w:val="en-GB" w:eastAsia="ro-MD"/>
        </w:rPr>
        <w:t xml:space="preserve"> early, as applicable, by the resolution entity other than in the</w:t>
      </w:r>
      <w:r w:rsidR="001D15FD" w:rsidRPr="003101B1">
        <w:rPr>
          <w:lang w:val="en-GB" w:eastAsia="ro-MD"/>
        </w:rPr>
        <w:t xml:space="preserve"> case of the</w:t>
      </w:r>
      <w:r w:rsidR="00EE3229" w:rsidRPr="003101B1">
        <w:rPr>
          <w:lang w:val="en-GB" w:eastAsia="ro-MD"/>
        </w:rPr>
        <w:t xml:space="preserve"> insolvency or liquidation of the bank and the bank does not otherwise provide such an indication</w:t>
      </w:r>
      <w:r w:rsidRPr="003101B1">
        <w:rPr>
          <w:lang w:val="en-GB" w:eastAsia="ro-MD"/>
        </w:rPr>
        <w:t>;</w:t>
      </w:r>
    </w:p>
    <w:p w14:paraId="3FCA9A99" w14:textId="3833730E" w:rsidR="00851058" w:rsidRPr="003101B1" w:rsidRDefault="00851058" w:rsidP="00851058">
      <w:pPr>
        <w:jc w:val="both"/>
        <w:rPr>
          <w:lang w:val="en-GB" w:eastAsia="ro-MD"/>
        </w:rPr>
      </w:pPr>
      <w:r w:rsidRPr="003101B1">
        <w:rPr>
          <w:lang w:val="en-GB" w:eastAsia="ro-MD"/>
        </w:rPr>
        <w:t xml:space="preserve">12) </w:t>
      </w:r>
      <w:r w:rsidR="001D15FD" w:rsidRPr="003101B1">
        <w:rPr>
          <w:lang w:val="en-GB" w:eastAsia="ro-MD"/>
        </w:rPr>
        <w:t>the provisions governing the liabilities do not give the holder the right to accelerate the future scheduled payments of interest or principal, other than in the case of the insolvency or liquidation of the resolution entity</w:t>
      </w:r>
      <w:r w:rsidRPr="003101B1">
        <w:rPr>
          <w:lang w:val="en-GB" w:eastAsia="ro-MD"/>
        </w:rPr>
        <w:t>;</w:t>
      </w:r>
    </w:p>
    <w:p w14:paraId="5A99A796" w14:textId="1A633DD9" w:rsidR="00851058" w:rsidRPr="003101B1" w:rsidRDefault="00851058" w:rsidP="00851058">
      <w:pPr>
        <w:jc w:val="both"/>
        <w:rPr>
          <w:lang w:val="en-GB" w:eastAsia="ro-MD"/>
        </w:rPr>
      </w:pPr>
      <w:r w:rsidRPr="003101B1">
        <w:rPr>
          <w:lang w:val="en-GB" w:eastAsia="ro-MD"/>
        </w:rPr>
        <w:t xml:space="preserve">13) </w:t>
      </w:r>
      <w:r w:rsidR="001D15FD" w:rsidRPr="003101B1">
        <w:rPr>
          <w:lang w:val="en-GB" w:eastAsia="ro-MD"/>
        </w:rPr>
        <w:t>the level of interest or dividend payments, as applicable, on liabilities is not amended based on the credit standing of the resolution entity or its parent undertaking</w:t>
      </w:r>
      <w:r w:rsidRPr="003101B1">
        <w:rPr>
          <w:lang w:val="en-GB" w:eastAsia="ro-MD"/>
        </w:rPr>
        <w:t>;</w:t>
      </w:r>
    </w:p>
    <w:p w14:paraId="16F554E2" w14:textId="72FA10A7" w:rsidR="00851058" w:rsidRPr="003101B1" w:rsidRDefault="00851058" w:rsidP="001D1370">
      <w:pPr>
        <w:jc w:val="both"/>
        <w:rPr>
          <w:lang w:val="en-GB" w:eastAsia="ro-MD"/>
        </w:rPr>
      </w:pPr>
      <w:r w:rsidRPr="003101B1">
        <w:rPr>
          <w:lang w:val="en-GB" w:eastAsia="ro-MD"/>
        </w:rPr>
        <w:t xml:space="preserve">14) </w:t>
      </w:r>
      <w:r w:rsidR="001D15FD" w:rsidRPr="003101B1">
        <w:rPr>
          <w:lang w:val="en-GB" w:eastAsia="ro-MD"/>
        </w:rPr>
        <w:t>the relevant contractual documentation and, where applicable, the prospectus relating to the issue explicitly refer to the possible exercise of write-down and conversion powers in accordance with paragraphs 219 to 225 of Law No 232/2016</w:t>
      </w:r>
      <w:r w:rsidRPr="003101B1">
        <w:rPr>
          <w:lang w:val="en-GB" w:eastAsia="ro-MD"/>
        </w:rPr>
        <w:t>.</w:t>
      </w:r>
    </w:p>
    <w:p w14:paraId="4A494348" w14:textId="4EA3AE67"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6</w:t>
      </w:r>
      <w:r w:rsidRPr="003101B1">
        <w:rPr>
          <w:b/>
          <w:bCs/>
          <w:lang w:val="en-GB" w:eastAsia="ro-MD"/>
        </w:rPr>
        <w:t xml:space="preserve">. </w:t>
      </w:r>
      <w:r w:rsidR="001D15FD" w:rsidRPr="003101B1">
        <w:rPr>
          <w:lang w:val="en-GB" w:eastAsia="ro-MD"/>
        </w:rPr>
        <w:t xml:space="preserve">For the purposes of paragraph </w:t>
      </w:r>
      <w:r w:rsidRPr="003101B1">
        <w:rPr>
          <w:lang w:val="en-GB" w:eastAsia="ro-MD"/>
        </w:rPr>
        <w:t>109</w:t>
      </w:r>
      <w:r w:rsidRPr="003101B1">
        <w:rPr>
          <w:vertAlign w:val="superscript"/>
          <w:lang w:val="en-GB" w:eastAsia="ro-MD"/>
        </w:rPr>
        <w:t>5</w:t>
      </w:r>
      <w:r w:rsidRPr="003101B1">
        <w:rPr>
          <w:lang w:val="en-GB" w:eastAsia="ro-MD"/>
        </w:rPr>
        <w:t xml:space="preserve"> sub</w:t>
      </w:r>
      <w:r w:rsidR="001D15FD" w:rsidRPr="003101B1">
        <w:rPr>
          <w:lang w:val="en-GB" w:eastAsia="ro-MD"/>
        </w:rPr>
        <w:t>-paragraph</w:t>
      </w:r>
      <w:r w:rsidRPr="003101B1">
        <w:rPr>
          <w:lang w:val="en-GB" w:eastAsia="ro-MD"/>
        </w:rPr>
        <w:t xml:space="preserve"> </w:t>
      </w:r>
      <w:r w:rsidR="00475B90" w:rsidRPr="003101B1">
        <w:rPr>
          <w:lang w:val="en-GB" w:eastAsia="ro-MD"/>
        </w:rPr>
        <w:t>4</w:t>
      </w:r>
      <w:r w:rsidRPr="003101B1">
        <w:rPr>
          <w:lang w:val="en-GB" w:eastAsia="ro-MD"/>
        </w:rPr>
        <w:t xml:space="preserve">), </w:t>
      </w:r>
      <w:r w:rsidR="001D15FD" w:rsidRPr="003101B1">
        <w:rPr>
          <w:lang w:val="en-GB" w:eastAsia="ro-MD"/>
        </w:rPr>
        <w:t>where some of the excluded liabilities referred to in paragraph</w:t>
      </w:r>
      <w:r w:rsidRPr="003101B1">
        <w:rPr>
          <w:lang w:val="en-GB" w:eastAsia="ro-MD"/>
        </w:rPr>
        <w:t xml:space="preserve"> 109</w:t>
      </w:r>
      <w:r w:rsidRPr="003101B1">
        <w:rPr>
          <w:vertAlign w:val="superscript"/>
          <w:lang w:val="en-GB" w:eastAsia="ro-MD"/>
        </w:rPr>
        <w:t>2</w:t>
      </w:r>
      <w:r w:rsidRPr="003101B1">
        <w:rPr>
          <w:lang w:val="en-GB" w:eastAsia="ro-MD"/>
        </w:rPr>
        <w:t xml:space="preserve"> </w:t>
      </w:r>
      <w:r w:rsidR="001D15FD" w:rsidRPr="003101B1">
        <w:rPr>
          <w:lang w:val="en-GB" w:eastAsia="ro-MD"/>
        </w:rPr>
        <w:t>are subordinated to ordinary unsecured claims under Law No 550/1995 on banks liquidation, inter alia, due to being held by a creditor who has close links with the debtor, because the creditor is or has been a shareholder, is in a control or group relationship, is a member of the management body or in relation to any of those persons, subordination shall not be assessed by reference to claims arising from those excluded liabilities</w:t>
      </w:r>
      <w:r w:rsidRPr="003101B1">
        <w:rPr>
          <w:lang w:val="en-GB" w:eastAsia="ro-MD"/>
        </w:rPr>
        <w:t>.</w:t>
      </w:r>
      <w:r w:rsidRPr="003101B1">
        <w:rPr>
          <w:sz w:val="18"/>
          <w:szCs w:val="18"/>
          <w:highlight w:val="lightGray"/>
          <w:lang w:val="en-GB" w:eastAsia="ro-MD"/>
        </w:rPr>
        <w:t xml:space="preserve"> </w:t>
      </w:r>
    </w:p>
    <w:p w14:paraId="77A70602" w14:textId="1DF46B50"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7</w:t>
      </w:r>
      <w:r w:rsidRPr="003101B1">
        <w:rPr>
          <w:b/>
          <w:bCs/>
          <w:lang w:val="en-GB" w:eastAsia="ro-MD"/>
        </w:rPr>
        <w:t>.</w:t>
      </w:r>
      <w:r w:rsidRPr="003101B1">
        <w:rPr>
          <w:lang w:val="en-GB" w:eastAsia="ro-MD"/>
        </w:rPr>
        <w:t xml:space="preserve"> </w:t>
      </w:r>
      <w:r w:rsidR="001D15FD" w:rsidRPr="003101B1">
        <w:rPr>
          <w:lang w:val="en-GB" w:eastAsia="ro-MD"/>
        </w:rPr>
        <w:t xml:space="preserve">In addition to the liabilities referred to in paragraph </w:t>
      </w:r>
      <w:r w:rsidRPr="003101B1">
        <w:rPr>
          <w:lang w:val="en-GB" w:eastAsia="ro-MD"/>
        </w:rPr>
        <w:t>109</w:t>
      </w:r>
      <w:r w:rsidRPr="003101B1">
        <w:rPr>
          <w:vertAlign w:val="superscript"/>
          <w:lang w:val="en-GB" w:eastAsia="ro-MD"/>
        </w:rPr>
        <w:t>5</w:t>
      </w:r>
      <w:r w:rsidRPr="003101B1">
        <w:rPr>
          <w:lang w:val="en-GB" w:eastAsia="ro-MD"/>
        </w:rPr>
        <w:t xml:space="preserve">, </w:t>
      </w:r>
      <w:r w:rsidR="001D15FD" w:rsidRPr="003101B1">
        <w:rPr>
          <w:lang w:val="en-GB" w:eastAsia="ro-MD"/>
        </w:rPr>
        <w:t>the National Bank of Moldova as resolution authority may permit liabilities to qualify as eligible liabilities instruments up to an aggregate amount that does not exceed 3.5 % of the total risk exposure amount, provided that</w:t>
      </w:r>
      <w:r w:rsidRPr="003101B1">
        <w:rPr>
          <w:lang w:val="en-GB" w:eastAsia="ro-MD"/>
        </w:rPr>
        <w:t xml:space="preserve">: </w:t>
      </w:r>
    </w:p>
    <w:p w14:paraId="5D9E674C" w14:textId="48B4D4E8" w:rsidR="00F93D86" w:rsidRPr="003101B1" w:rsidRDefault="00F93D86" w:rsidP="001D1370">
      <w:pPr>
        <w:jc w:val="both"/>
        <w:rPr>
          <w:lang w:val="en-GB" w:eastAsia="ro-MD"/>
        </w:rPr>
      </w:pPr>
      <w:r w:rsidRPr="003101B1">
        <w:rPr>
          <w:lang w:val="en-GB" w:eastAsia="ro-MD"/>
        </w:rPr>
        <w:t xml:space="preserve">1) </w:t>
      </w:r>
      <w:r w:rsidR="001D15FD" w:rsidRPr="003101B1">
        <w:rPr>
          <w:lang w:val="en-GB" w:eastAsia="ro-MD"/>
        </w:rPr>
        <w:t xml:space="preserve">all the conditions set out in paragraph </w:t>
      </w:r>
      <w:r w:rsidRPr="003101B1">
        <w:rPr>
          <w:lang w:val="en-GB" w:eastAsia="ro-MD"/>
        </w:rPr>
        <w:t>109</w:t>
      </w:r>
      <w:r w:rsidRPr="003101B1">
        <w:rPr>
          <w:vertAlign w:val="superscript"/>
          <w:lang w:val="en-GB" w:eastAsia="ro-MD"/>
        </w:rPr>
        <w:t>5</w:t>
      </w:r>
      <w:r w:rsidRPr="003101B1">
        <w:rPr>
          <w:lang w:val="en-GB" w:eastAsia="ro-MD"/>
        </w:rPr>
        <w:t xml:space="preserve"> </w:t>
      </w:r>
      <w:r w:rsidR="001D15FD" w:rsidRPr="003101B1">
        <w:rPr>
          <w:lang w:val="en-GB" w:eastAsia="ro-MD"/>
        </w:rPr>
        <w:t>and</w:t>
      </w:r>
      <w:r w:rsidR="00A972E7" w:rsidRPr="003101B1">
        <w:rPr>
          <w:lang w:val="en-GB" w:eastAsia="ro-MD"/>
        </w:rPr>
        <w:t xml:space="preserve"> </w:t>
      </w:r>
      <w:r w:rsidRPr="003101B1">
        <w:rPr>
          <w:lang w:val="en-GB" w:eastAsia="ro-MD"/>
        </w:rPr>
        <w:t>109</w:t>
      </w:r>
      <w:r w:rsidRPr="003101B1">
        <w:rPr>
          <w:vertAlign w:val="superscript"/>
          <w:lang w:val="en-GB" w:eastAsia="ro-MD"/>
        </w:rPr>
        <w:t>6</w:t>
      </w:r>
      <w:r w:rsidRPr="003101B1">
        <w:rPr>
          <w:lang w:val="en-GB" w:eastAsia="ro-MD"/>
        </w:rPr>
        <w:t xml:space="preserve">, </w:t>
      </w:r>
      <w:r w:rsidR="001D15FD" w:rsidRPr="003101B1">
        <w:rPr>
          <w:lang w:val="en-GB" w:eastAsia="ro-MD"/>
        </w:rPr>
        <w:t>except for the condition set out in paragraph</w:t>
      </w:r>
      <w:r w:rsidRPr="003101B1">
        <w:rPr>
          <w:lang w:val="en-GB" w:eastAsia="ro-MD"/>
        </w:rPr>
        <w:t xml:space="preserve"> 109</w:t>
      </w:r>
      <w:r w:rsidRPr="003101B1">
        <w:rPr>
          <w:vertAlign w:val="superscript"/>
          <w:lang w:val="en-GB" w:eastAsia="ro-MD"/>
        </w:rPr>
        <w:t>5</w:t>
      </w:r>
      <w:r w:rsidRPr="003101B1">
        <w:rPr>
          <w:lang w:val="en-GB" w:eastAsia="ro-MD"/>
        </w:rPr>
        <w:t xml:space="preserve"> sub</w:t>
      </w:r>
      <w:r w:rsidR="001D15FD" w:rsidRPr="003101B1">
        <w:rPr>
          <w:lang w:val="en-GB" w:eastAsia="ro-MD"/>
        </w:rPr>
        <w:t>-paragraph</w:t>
      </w:r>
      <w:r w:rsidRPr="003101B1">
        <w:rPr>
          <w:lang w:val="en-GB" w:eastAsia="ro-MD"/>
        </w:rPr>
        <w:t xml:space="preserve"> </w:t>
      </w:r>
      <w:r w:rsidR="00475B90" w:rsidRPr="003101B1">
        <w:rPr>
          <w:lang w:val="en-GB" w:eastAsia="ro-MD"/>
        </w:rPr>
        <w:t>4</w:t>
      </w:r>
      <w:r w:rsidRPr="003101B1">
        <w:rPr>
          <w:lang w:val="en-GB" w:eastAsia="ro-MD"/>
        </w:rPr>
        <w:t xml:space="preserve">), </w:t>
      </w:r>
      <w:r w:rsidR="001D15FD" w:rsidRPr="003101B1">
        <w:rPr>
          <w:lang w:val="en-GB" w:eastAsia="ro-MD"/>
        </w:rPr>
        <w:t>are met</w:t>
      </w:r>
      <w:r w:rsidRPr="003101B1">
        <w:rPr>
          <w:lang w:val="en-GB" w:eastAsia="ro-MD"/>
        </w:rPr>
        <w:t>;</w:t>
      </w:r>
    </w:p>
    <w:p w14:paraId="20EDB018" w14:textId="4ED26FC1" w:rsidR="00F93D86" w:rsidRPr="003101B1" w:rsidRDefault="00F93D86" w:rsidP="001D1370">
      <w:pPr>
        <w:jc w:val="both"/>
        <w:rPr>
          <w:lang w:val="en-GB" w:eastAsia="ro-MD"/>
        </w:rPr>
      </w:pPr>
      <w:r w:rsidRPr="003101B1">
        <w:rPr>
          <w:lang w:val="en-GB" w:eastAsia="ro-MD"/>
        </w:rPr>
        <w:t xml:space="preserve">2) </w:t>
      </w:r>
      <w:r w:rsidR="001D15FD" w:rsidRPr="003101B1">
        <w:rPr>
          <w:lang w:val="en-GB" w:eastAsia="ro-MD"/>
        </w:rPr>
        <w:t xml:space="preserve">the liabilities rank pari passu with the lowest ranking excluded liabilities referred to in paragraph </w:t>
      </w:r>
      <w:r w:rsidRPr="003101B1">
        <w:rPr>
          <w:lang w:val="en-GB" w:eastAsia="ro-MD"/>
        </w:rPr>
        <w:t>109</w:t>
      </w:r>
      <w:r w:rsidRPr="003101B1">
        <w:rPr>
          <w:vertAlign w:val="superscript"/>
          <w:lang w:val="en-GB" w:eastAsia="ro-MD"/>
        </w:rPr>
        <w:t>2</w:t>
      </w:r>
      <w:r w:rsidRPr="003101B1">
        <w:rPr>
          <w:lang w:val="en-GB" w:eastAsia="ro-MD"/>
        </w:rPr>
        <w:t xml:space="preserve">, </w:t>
      </w:r>
      <w:r w:rsidR="001D15FD" w:rsidRPr="003101B1">
        <w:rPr>
          <w:lang w:val="en-GB" w:eastAsia="ro-MD"/>
        </w:rPr>
        <w:t xml:space="preserve">with the exception of the excluded liabilities that are subordinated to ordinary unsecured claims referred to in paragraph </w:t>
      </w:r>
      <w:r w:rsidRPr="003101B1">
        <w:rPr>
          <w:lang w:val="en-GB" w:eastAsia="ro-MD"/>
        </w:rPr>
        <w:t>109</w:t>
      </w:r>
      <w:r w:rsidRPr="003101B1">
        <w:rPr>
          <w:vertAlign w:val="superscript"/>
          <w:lang w:val="en-GB" w:eastAsia="ro-MD"/>
        </w:rPr>
        <w:t>6</w:t>
      </w:r>
      <w:r w:rsidRPr="003101B1">
        <w:rPr>
          <w:lang w:val="en-GB" w:eastAsia="ro-MD"/>
        </w:rPr>
        <w:t xml:space="preserve">; </w:t>
      </w:r>
      <w:r w:rsidR="001D15FD" w:rsidRPr="003101B1">
        <w:rPr>
          <w:lang w:val="en-GB" w:eastAsia="ro-MD"/>
        </w:rPr>
        <w:t>and</w:t>
      </w:r>
    </w:p>
    <w:p w14:paraId="59894842" w14:textId="67A18AD7" w:rsidR="00F93D86" w:rsidRPr="003101B1" w:rsidRDefault="00F93D86" w:rsidP="001D1370">
      <w:pPr>
        <w:jc w:val="both"/>
        <w:rPr>
          <w:lang w:val="en-GB" w:eastAsia="ro-MD"/>
        </w:rPr>
      </w:pPr>
      <w:r w:rsidRPr="003101B1">
        <w:rPr>
          <w:lang w:val="en-GB" w:eastAsia="ro-MD"/>
        </w:rPr>
        <w:t xml:space="preserve">3) </w:t>
      </w:r>
      <w:r w:rsidR="008A3F85" w:rsidRPr="003101B1">
        <w:rPr>
          <w:lang w:val="en-GB" w:eastAsia="ro-MD"/>
        </w:rPr>
        <w:t>the inclusion of those liabilities in eligible liabilities items does not give rise to material risks of successful legal challenge or valid compensation claims, in accordance with the resolution authority’s assessment in relation to the principle referred to in Article 61 sub-paragraph (1) letter (g) and Article 266 of Law No 232/2016</w:t>
      </w:r>
      <w:r w:rsidRPr="003101B1">
        <w:rPr>
          <w:lang w:val="en-GB" w:eastAsia="ro-MD"/>
        </w:rPr>
        <w:t>.</w:t>
      </w:r>
    </w:p>
    <w:p w14:paraId="02A5E705" w14:textId="03BCE2D9"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8</w:t>
      </w:r>
      <w:r w:rsidRPr="003101B1">
        <w:rPr>
          <w:b/>
          <w:bCs/>
          <w:lang w:val="en-GB" w:eastAsia="ro-MD"/>
        </w:rPr>
        <w:t>.</w:t>
      </w:r>
      <w:r w:rsidRPr="003101B1">
        <w:rPr>
          <w:lang w:val="en-GB" w:eastAsia="ro-MD"/>
        </w:rPr>
        <w:t xml:space="preserve"> </w:t>
      </w:r>
      <w:r w:rsidR="008A3F85" w:rsidRPr="003101B1">
        <w:rPr>
          <w:lang w:val="en-GB" w:eastAsia="ro-MD"/>
        </w:rPr>
        <w:t xml:space="preserve">The National Bank of Moldova, as resolution authority, may permit liabilities to qualify as eligible liabilities instruments in addition to the liabilities referred to in paragraphs </w:t>
      </w:r>
      <w:r w:rsidRPr="003101B1">
        <w:rPr>
          <w:lang w:val="en-GB" w:eastAsia="ro-MD"/>
        </w:rPr>
        <w:t>109</w:t>
      </w:r>
      <w:r w:rsidRPr="003101B1">
        <w:rPr>
          <w:vertAlign w:val="superscript"/>
          <w:lang w:val="en-GB" w:eastAsia="ro-MD"/>
        </w:rPr>
        <w:t>5</w:t>
      </w:r>
      <w:r w:rsidR="00A972E7" w:rsidRPr="003101B1">
        <w:rPr>
          <w:lang w:val="en-GB" w:eastAsia="ro-MD"/>
        </w:rPr>
        <w:t xml:space="preserve"> </w:t>
      </w:r>
      <w:r w:rsidR="008A3F85" w:rsidRPr="003101B1">
        <w:rPr>
          <w:lang w:val="en-GB" w:eastAsia="ro-MD"/>
        </w:rPr>
        <w:t xml:space="preserve">and </w:t>
      </w:r>
      <w:r w:rsidRPr="003101B1">
        <w:rPr>
          <w:lang w:val="en-GB" w:eastAsia="ro-MD"/>
        </w:rPr>
        <w:t>109</w:t>
      </w:r>
      <w:r w:rsidRPr="003101B1">
        <w:rPr>
          <w:vertAlign w:val="superscript"/>
          <w:lang w:val="en-GB" w:eastAsia="ro-MD"/>
        </w:rPr>
        <w:t>6</w:t>
      </w:r>
      <w:r w:rsidRPr="003101B1">
        <w:rPr>
          <w:lang w:val="en-GB" w:eastAsia="ro-MD"/>
        </w:rPr>
        <w:t xml:space="preserve">, </w:t>
      </w:r>
      <w:r w:rsidR="008A3F85" w:rsidRPr="003101B1">
        <w:rPr>
          <w:lang w:val="en-GB" w:eastAsia="ro-MD"/>
        </w:rPr>
        <w:t>provided that</w:t>
      </w:r>
      <w:r w:rsidRPr="003101B1">
        <w:rPr>
          <w:lang w:val="en-GB" w:eastAsia="ro-MD"/>
        </w:rPr>
        <w:t>:</w:t>
      </w:r>
    </w:p>
    <w:p w14:paraId="319C5288" w14:textId="08B292EB" w:rsidR="00F93D86" w:rsidRPr="003101B1" w:rsidRDefault="00F93D86" w:rsidP="001D1370">
      <w:pPr>
        <w:jc w:val="both"/>
        <w:rPr>
          <w:lang w:val="en-GB" w:eastAsia="ro-MD"/>
        </w:rPr>
      </w:pPr>
      <w:r w:rsidRPr="003101B1">
        <w:rPr>
          <w:lang w:val="en-GB" w:eastAsia="ro-MD"/>
        </w:rPr>
        <w:t xml:space="preserve">1) </w:t>
      </w:r>
      <w:r w:rsidR="008A3F85" w:rsidRPr="003101B1">
        <w:rPr>
          <w:lang w:val="en-GB" w:eastAsia="ro-MD"/>
        </w:rPr>
        <w:t xml:space="preserve">the bank is not permitted to include in eligible liabilities items liabilities referred to in paragraph </w:t>
      </w:r>
      <w:r w:rsidRPr="003101B1">
        <w:rPr>
          <w:lang w:val="en-GB" w:eastAsia="ro-MD"/>
        </w:rPr>
        <w:t>109</w:t>
      </w:r>
      <w:r w:rsidRPr="003101B1">
        <w:rPr>
          <w:vertAlign w:val="superscript"/>
          <w:lang w:val="en-GB" w:eastAsia="ro-MD"/>
        </w:rPr>
        <w:t>7</w:t>
      </w:r>
      <w:r w:rsidR="008A3F85" w:rsidRPr="003101B1">
        <w:rPr>
          <w:vertAlign w:val="superscript"/>
          <w:lang w:val="en-GB" w:eastAsia="ro-MD"/>
        </w:rPr>
        <w:t xml:space="preserve"> </w:t>
      </w:r>
      <w:r w:rsidR="008A3F85" w:rsidRPr="003101B1">
        <w:rPr>
          <w:lang w:val="en-GB" w:eastAsia="ro-MD"/>
        </w:rPr>
        <w:t>items</w:t>
      </w:r>
      <w:r w:rsidRPr="003101B1">
        <w:rPr>
          <w:lang w:val="en-GB" w:eastAsia="ro-MD"/>
        </w:rPr>
        <w:t>;</w:t>
      </w:r>
    </w:p>
    <w:p w14:paraId="5516E939" w14:textId="00BB76E7" w:rsidR="00F93D86" w:rsidRPr="003101B1" w:rsidRDefault="00F93D86" w:rsidP="001D1370">
      <w:pPr>
        <w:jc w:val="both"/>
        <w:rPr>
          <w:lang w:val="en-GB" w:eastAsia="ro-MD"/>
        </w:rPr>
      </w:pPr>
      <w:r w:rsidRPr="003101B1">
        <w:rPr>
          <w:lang w:val="en-GB" w:eastAsia="ro-MD"/>
        </w:rPr>
        <w:t xml:space="preserve">2) </w:t>
      </w:r>
      <w:r w:rsidR="008A3F85" w:rsidRPr="003101B1">
        <w:rPr>
          <w:lang w:val="en-GB" w:eastAsia="ro-MD"/>
        </w:rPr>
        <w:t xml:space="preserve">all the conditions set out in paragraphs </w:t>
      </w:r>
      <w:r w:rsidRPr="003101B1">
        <w:rPr>
          <w:lang w:val="en-GB" w:eastAsia="ro-MD"/>
        </w:rPr>
        <w:t>109</w:t>
      </w:r>
      <w:r w:rsidRPr="003101B1">
        <w:rPr>
          <w:vertAlign w:val="superscript"/>
          <w:lang w:val="en-GB" w:eastAsia="ro-MD"/>
        </w:rPr>
        <w:t>5</w:t>
      </w:r>
      <w:r w:rsidRPr="003101B1">
        <w:rPr>
          <w:lang w:val="en-GB" w:eastAsia="ro-MD"/>
        </w:rPr>
        <w:t xml:space="preserve"> </w:t>
      </w:r>
      <w:r w:rsidR="008A3F85" w:rsidRPr="003101B1">
        <w:rPr>
          <w:lang w:val="en-GB" w:eastAsia="ro-MD"/>
        </w:rPr>
        <w:t xml:space="preserve">and </w:t>
      </w:r>
      <w:r w:rsidRPr="003101B1">
        <w:rPr>
          <w:lang w:val="en-GB" w:eastAsia="ro-MD"/>
        </w:rPr>
        <w:t>109</w:t>
      </w:r>
      <w:r w:rsidRPr="003101B1">
        <w:rPr>
          <w:vertAlign w:val="superscript"/>
          <w:lang w:val="en-GB" w:eastAsia="ro-MD"/>
        </w:rPr>
        <w:t>6</w:t>
      </w:r>
      <w:r w:rsidRPr="003101B1">
        <w:rPr>
          <w:lang w:val="en-GB" w:eastAsia="ro-MD"/>
        </w:rPr>
        <w:t xml:space="preserve">, </w:t>
      </w:r>
      <w:r w:rsidR="008A3F85" w:rsidRPr="003101B1">
        <w:rPr>
          <w:lang w:val="en-GB" w:eastAsia="ro-MD"/>
        </w:rPr>
        <w:t xml:space="preserve">except for the condition set out in paragraph </w:t>
      </w:r>
      <w:r w:rsidRPr="003101B1">
        <w:rPr>
          <w:lang w:val="en-GB" w:eastAsia="ro-MD"/>
        </w:rPr>
        <w:t>109</w:t>
      </w:r>
      <w:r w:rsidRPr="003101B1">
        <w:rPr>
          <w:vertAlign w:val="superscript"/>
          <w:lang w:val="en-GB" w:eastAsia="ro-MD"/>
        </w:rPr>
        <w:t>5</w:t>
      </w:r>
      <w:r w:rsidRPr="003101B1">
        <w:rPr>
          <w:lang w:val="en-GB" w:eastAsia="ro-MD"/>
        </w:rPr>
        <w:t xml:space="preserve"> sub</w:t>
      </w:r>
      <w:r w:rsidR="008A3F85" w:rsidRPr="003101B1">
        <w:rPr>
          <w:lang w:val="en-GB" w:eastAsia="ro-MD"/>
        </w:rPr>
        <w:t>-paragraph</w:t>
      </w:r>
      <w:r w:rsidRPr="003101B1">
        <w:rPr>
          <w:lang w:val="en-GB" w:eastAsia="ro-MD"/>
        </w:rPr>
        <w:t xml:space="preserve"> </w:t>
      </w:r>
      <w:r w:rsidR="00475B90" w:rsidRPr="003101B1">
        <w:rPr>
          <w:lang w:val="en-GB" w:eastAsia="ro-MD"/>
        </w:rPr>
        <w:t>4</w:t>
      </w:r>
      <w:r w:rsidRPr="003101B1">
        <w:rPr>
          <w:lang w:val="en-GB" w:eastAsia="ro-MD"/>
        </w:rPr>
        <w:t xml:space="preserve">), </w:t>
      </w:r>
      <w:r w:rsidR="008A3F85" w:rsidRPr="003101B1">
        <w:rPr>
          <w:lang w:val="en-GB" w:eastAsia="ro-MD"/>
        </w:rPr>
        <w:t>are met</w:t>
      </w:r>
      <w:r w:rsidRPr="003101B1">
        <w:rPr>
          <w:lang w:val="en-GB" w:eastAsia="ro-MD"/>
        </w:rPr>
        <w:t>;</w:t>
      </w:r>
    </w:p>
    <w:p w14:paraId="6AFE1AED" w14:textId="279D634E" w:rsidR="00F93D86" w:rsidRPr="003101B1" w:rsidRDefault="00F93D86" w:rsidP="001D1370">
      <w:pPr>
        <w:jc w:val="both"/>
        <w:rPr>
          <w:lang w:val="en-GB" w:eastAsia="ro-MD"/>
        </w:rPr>
      </w:pPr>
      <w:r w:rsidRPr="003101B1">
        <w:rPr>
          <w:lang w:val="en-GB" w:eastAsia="ro-MD"/>
        </w:rPr>
        <w:t xml:space="preserve">3) </w:t>
      </w:r>
      <w:r w:rsidR="00F82A8E" w:rsidRPr="003101B1">
        <w:rPr>
          <w:lang w:val="en-GB" w:eastAsia="ro-MD"/>
        </w:rPr>
        <w:t xml:space="preserve">the liabilities rank pari passu or senior to the lowest ranking excluded liabilities referred to in paragraph </w:t>
      </w:r>
      <w:r w:rsidRPr="003101B1">
        <w:rPr>
          <w:lang w:val="en-GB" w:eastAsia="ro-MD"/>
        </w:rPr>
        <w:t>109</w:t>
      </w:r>
      <w:r w:rsidRPr="003101B1">
        <w:rPr>
          <w:vertAlign w:val="superscript"/>
          <w:lang w:val="en-GB" w:eastAsia="ro-MD"/>
        </w:rPr>
        <w:t>2</w:t>
      </w:r>
      <w:r w:rsidRPr="003101B1">
        <w:rPr>
          <w:lang w:val="en-GB" w:eastAsia="ro-MD"/>
        </w:rPr>
        <w:t xml:space="preserve">, </w:t>
      </w:r>
      <w:r w:rsidR="00F82A8E" w:rsidRPr="003101B1">
        <w:rPr>
          <w:lang w:val="en-GB" w:eastAsia="ro-MD"/>
        </w:rPr>
        <w:t>with the exception of the excluded liabilities subordinated to ordinary unsecured claims referred to in paragraph</w:t>
      </w:r>
      <w:r w:rsidRPr="003101B1">
        <w:rPr>
          <w:lang w:val="en-GB" w:eastAsia="ro-MD"/>
        </w:rPr>
        <w:t xml:space="preserve"> 109</w:t>
      </w:r>
      <w:r w:rsidRPr="003101B1">
        <w:rPr>
          <w:vertAlign w:val="superscript"/>
          <w:lang w:val="en-GB" w:eastAsia="ro-MD"/>
        </w:rPr>
        <w:t>6</w:t>
      </w:r>
      <w:r w:rsidRPr="003101B1">
        <w:rPr>
          <w:lang w:val="en-GB" w:eastAsia="ro-MD"/>
        </w:rPr>
        <w:t>;</w:t>
      </w:r>
    </w:p>
    <w:p w14:paraId="315BF387" w14:textId="78DE9578" w:rsidR="00F93D86" w:rsidRPr="003101B1" w:rsidRDefault="00F93D86" w:rsidP="001D1370">
      <w:pPr>
        <w:jc w:val="both"/>
        <w:rPr>
          <w:lang w:val="en-GB" w:eastAsia="ro-MD"/>
        </w:rPr>
      </w:pPr>
      <w:r w:rsidRPr="003101B1">
        <w:rPr>
          <w:lang w:val="en-GB" w:eastAsia="ro-MD"/>
        </w:rPr>
        <w:t xml:space="preserve">4) </w:t>
      </w:r>
      <w:r w:rsidR="00F82A8E" w:rsidRPr="003101B1">
        <w:rPr>
          <w:lang w:val="en-GB" w:eastAsia="ro-MD"/>
        </w:rPr>
        <w:t xml:space="preserve">on the balance sheet of the bank, the amount of the excluded liabilities referred to in paragraph </w:t>
      </w:r>
      <w:r w:rsidRPr="003101B1">
        <w:rPr>
          <w:lang w:val="en-GB" w:eastAsia="ro-MD"/>
        </w:rPr>
        <w:t>109</w:t>
      </w:r>
      <w:r w:rsidRPr="003101B1">
        <w:rPr>
          <w:vertAlign w:val="superscript"/>
          <w:lang w:val="en-GB" w:eastAsia="ro-MD"/>
        </w:rPr>
        <w:t xml:space="preserve">2 </w:t>
      </w:r>
      <w:r w:rsidR="00F82A8E" w:rsidRPr="003101B1">
        <w:rPr>
          <w:lang w:val="en-GB" w:eastAsia="ro-MD"/>
        </w:rPr>
        <w:t>that rank pari passu or below those liabilities in the event of insolvency does not exceed 5 % of the amount of the own funds and eligible liabilities of the bank</w:t>
      </w:r>
      <w:r w:rsidRPr="003101B1">
        <w:rPr>
          <w:lang w:val="en-GB" w:eastAsia="ro-MD"/>
        </w:rPr>
        <w:t>;</w:t>
      </w:r>
    </w:p>
    <w:p w14:paraId="2F9A5E95" w14:textId="3223569F" w:rsidR="00F93D86" w:rsidRPr="003101B1" w:rsidRDefault="00F93D86" w:rsidP="001D1370">
      <w:pPr>
        <w:jc w:val="both"/>
        <w:rPr>
          <w:lang w:val="en-GB" w:eastAsia="ro-MD"/>
        </w:rPr>
      </w:pPr>
      <w:r w:rsidRPr="003101B1">
        <w:rPr>
          <w:lang w:val="en-GB" w:eastAsia="ro-MD"/>
        </w:rPr>
        <w:t xml:space="preserve">5) </w:t>
      </w:r>
      <w:r w:rsidR="00F82A8E" w:rsidRPr="003101B1">
        <w:rPr>
          <w:lang w:val="en-GB" w:eastAsia="ro-MD"/>
        </w:rPr>
        <w:t xml:space="preserve">the inclusion of those liabilities in eligible liabilities items would not give rise to a material risk of successful legal challenge or valid compensation claims, in accordance with the resolution authority’s assessment in relation to the principle referred to in </w:t>
      </w:r>
      <w:r w:rsidR="006D5C4F" w:rsidRPr="003101B1">
        <w:rPr>
          <w:lang w:val="en-GB" w:eastAsia="ro-MD"/>
        </w:rPr>
        <w:t>Article</w:t>
      </w:r>
      <w:r w:rsidR="00F82A8E" w:rsidRPr="003101B1">
        <w:rPr>
          <w:lang w:val="en-GB" w:eastAsia="ro-MD"/>
        </w:rPr>
        <w:t xml:space="preserve"> 61 </w:t>
      </w:r>
      <w:r w:rsidR="006D5C4F" w:rsidRPr="003101B1">
        <w:rPr>
          <w:lang w:val="en-GB" w:eastAsia="ro-MD"/>
        </w:rPr>
        <w:t>(</w:t>
      </w:r>
      <w:r w:rsidR="00F82A8E" w:rsidRPr="003101B1">
        <w:rPr>
          <w:lang w:val="en-GB" w:eastAsia="ro-MD"/>
        </w:rPr>
        <w:t xml:space="preserve">1) letter g) and </w:t>
      </w:r>
      <w:r w:rsidR="006D5C4F" w:rsidRPr="003101B1">
        <w:rPr>
          <w:lang w:val="en-GB" w:eastAsia="ro-MD"/>
        </w:rPr>
        <w:t>Article</w:t>
      </w:r>
      <w:r w:rsidR="00F82A8E" w:rsidRPr="003101B1">
        <w:rPr>
          <w:lang w:val="en-GB" w:eastAsia="ro-MD"/>
        </w:rPr>
        <w:t> 266 of Law No 232/2016</w:t>
      </w:r>
      <w:r w:rsidRPr="003101B1">
        <w:rPr>
          <w:lang w:val="en-GB" w:eastAsia="ro-MD"/>
        </w:rPr>
        <w:t xml:space="preserve">. </w:t>
      </w:r>
      <w:r w:rsidRPr="003101B1">
        <w:rPr>
          <w:sz w:val="18"/>
          <w:szCs w:val="18"/>
          <w:highlight w:val="lightGray"/>
          <w:lang w:val="en-GB" w:eastAsia="ro-MD"/>
        </w:rPr>
        <w:t xml:space="preserve"> </w:t>
      </w:r>
    </w:p>
    <w:p w14:paraId="502B3A1E" w14:textId="547A4127"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9</w:t>
      </w:r>
      <w:r w:rsidRPr="003101B1">
        <w:rPr>
          <w:b/>
          <w:bCs/>
          <w:lang w:val="en-GB" w:eastAsia="ro-MD"/>
        </w:rPr>
        <w:t>.</w:t>
      </w:r>
      <w:r w:rsidRPr="003101B1">
        <w:rPr>
          <w:lang w:val="en-GB" w:eastAsia="ro-MD"/>
        </w:rPr>
        <w:t xml:space="preserve"> </w:t>
      </w:r>
      <w:r w:rsidR="00F82A8E" w:rsidRPr="003101B1">
        <w:rPr>
          <w:lang w:val="en-GB" w:eastAsia="ro-MD"/>
        </w:rPr>
        <w:t xml:space="preserve">The National Bank of Moldova, as the resolution authority, may permit a bank to include liabilities referred to in paragraphs </w:t>
      </w:r>
      <w:r w:rsidRPr="003101B1">
        <w:rPr>
          <w:lang w:val="en-GB" w:eastAsia="ro-MD"/>
        </w:rPr>
        <w:t>109</w:t>
      </w:r>
      <w:r w:rsidRPr="003101B1">
        <w:rPr>
          <w:vertAlign w:val="superscript"/>
          <w:lang w:val="en-GB" w:eastAsia="ro-MD"/>
        </w:rPr>
        <w:t>7</w:t>
      </w:r>
      <w:r w:rsidRPr="003101B1">
        <w:rPr>
          <w:lang w:val="en-GB" w:eastAsia="ro-MD"/>
        </w:rPr>
        <w:t xml:space="preserve"> </w:t>
      </w:r>
      <w:r w:rsidR="00F82A8E" w:rsidRPr="003101B1">
        <w:rPr>
          <w:lang w:val="en-GB" w:eastAsia="ro-MD"/>
        </w:rPr>
        <w:t>and</w:t>
      </w:r>
      <w:r w:rsidRPr="003101B1">
        <w:rPr>
          <w:lang w:val="en-GB" w:eastAsia="ro-MD"/>
        </w:rPr>
        <w:t xml:space="preserve"> 109</w:t>
      </w:r>
      <w:r w:rsidRPr="003101B1">
        <w:rPr>
          <w:vertAlign w:val="superscript"/>
          <w:lang w:val="en-GB" w:eastAsia="ro-MD"/>
        </w:rPr>
        <w:t>8</w:t>
      </w:r>
      <w:r w:rsidRPr="003101B1">
        <w:rPr>
          <w:lang w:val="en-GB" w:eastAsia="ro-MD"/>
        </w:rPr>
        <w:t xml:space="preserve"> </w:t>
      </w:r>
      <w:r w:rsidR="00F82A8E" w:rsidRPr="003101B1">
        <w:rPr>
          <w:lang w:val="en-GB" w:eastAsia="ro-MD"/>
        </w:rPr>
        <w:t>only as eligible liabilities items</w:t>
      </w:r>
      <w:r w:rsidRPr="003101B1">
        <w:rPr>
          <w:lang w:val="en-GB" w:eastAsia="ro-MD"/>
        </w:rPr>
        <w:t>.</w:t>
      </w:r>
    </w:p>
    <w:p w14:paraId="25616F63" w14:textId="07ECD454"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10</w:t>
      </w:r>
      <w:r w:rsidRPr="003101B1">
        <w:rPr>
          <w:b/>
          <w:bCs/>
          <w:lang w:val="en-GB" w:eastAsia="ro-MD"/>
        </w:rPr>
        <w:t xml:space="preserve">. </w:t>
      </w:r>
      <w:r w:rsidR="00F82A8E" w:rsidRPr="003101B1">
        <w:rPr>
          <w:lang w:val="en-GB" w:eastAsia="ro-MD"/>
        </w:rPr>
        <w:t>The National Bank of Moldova shall ensure that the structure exercising the resolution function and the structure exercising the supervisory function consult each other when examining whether the conditions set out in this Subsection are met</w:t>
      </w:r>
      <w:r w:rsidRPr="003101B1">
        <w:rPr>
          <w:lang w:val="en-GB" w:eastAsia="ro-MD"/>
        </w:rPr>
        <w:t xml:space="preserve">. </w:t>
      </w:r>
      <w:r w:rsidRPr="003101B1">
        <w:rPr>
          <w:sz w:val="18"/>
          <w:szCs w:val="18"/>
          <w:highlight w:val="lightGray"/>
          <w:lang w:val="en-GB" w:eastAsia="ro-MD"/>
        </w:rPr>
        <w:t xml:space="preserve"> </w:t>
      </w:r>
    </w:p>
    <w:p w14:paraId="25FADE51" w14:textId="216ECA4C"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11</w:t>
      </w:r>
      <w:r w:rsidRPr="003101B1">
        <w:rPr>
          <w:b/>
          <w:bCs/>
          <w:lang w:val="en-GB" w:eastAsia="ro-MD"/>
        </w:rPr>
        <w:t xml:space="preserve">. </w:t>
      </w:r>
      <w:r w:rsidR="00F82A8E" w:rsidRPr="003101B1">
        <w:rPr>
          <w:lang w:val="en-GB" w:eastAsia="ro-MD"/>
        </w:rPr>
        <w:t xml:space="preserve">The applicable forms and nature of indirect funding of eligible liabilities instruments are determined in Annex </w:t>
      </w:r>
      <w:r w:rsidRPr="003101B1">
        <w:rPr>
          <w:lang w:val="en-GB" w:eastAsia="ro-MD"/>
        </w:rPr>
        <w:t>2.</w:t>
      </w:r>
      <w:r w:rsidRPr="003101B1">
        <w:rPr>
          <w:sz w:val="18"/>
          <w:szCs w:val="18"/>
          <w:highlight w:val="lightGray"/>
          <w:lang w:val="en-GB" w:eastAsia="ro-MD"/>
        </w:rPr>
        <w:t xml:space="preserve"> </w:t>
      </w:r>
    </w:p>
    <w:p w14:paraId="4EBA65DD" w14:textId="3FEF143E" w:rsidR="00F93D86" w:rsidRPr="003101B1" w:rsidRDefault="00F93D86" w:rsidP="00FF2FD6">
      <w:pPr>
        <w:spacing w:before="80"/>
        <w:jc w:val="center"/>
        <w:rPr>
          <w:b/>
          <w:bCs/>
          <w:i/>
          <w:iCs/>
          <w:lang w:val="en-GB" w:eastAsia="ro-MD"/>
        </w:rPr>
      </w:pPr>
      <w:r w:rsidRPr="003101B1">
        <w:rPr>
          <w:b/>
          <w:bCs/>
          <w:i/>
          <w:iCs/>
          <w:lang w:val="en-GB" w:eastAsia="ro-MD"/>
        </w:rPr>
        <w:t>Subsec</w:t>
      </w:r>
      <w:r w:rsidR="00CA611F" w:rsidRPr="003101B1">
        <w:rPr>
          <w:b/>
          <w:bCs/>
          <w:i/>
          <w:iCs/>
          <w:lang w:val="en-GB" w:eastAsia="ro-MD"/>
        </w:rPr>
        <w:t>tion</w:t>
      </w:r>
      <w:r w:rsidRPr="003101B1">
        <w:rPr>
          <w:b/>
          <w:bCs/>
          <w:i/>
          <w:iCs/>
          <w:lang w:val="en-GB" w:eastAsia="ro-MD"/>
        </w:rPr>
        <w:t xml:space="preserve"> 3</w:t>
      </w:r>
    </w:p>
    <w:p w14:paraId="5FE2A6E0" w14:textId="71D2FBC6" w:rsidR="00F93D86" w:rsidRPr="003101B1" w:rsidRDefault="00CA611F" w:rsidP="00F93D86">
      <w:pPr>
        <w:ind w:firstLine="567"/>
        <w:jc w:val="center"/>
        <w:rPr>
          <w:b/>
          <w:bCs/>
          <w:i/>
          <w:iCs/>
          <w:lang w:val="en-GB" w:eastAsia="ro-MD"/>
        </w:rPr>
      </w:pPr>
      <w:r w:rsidRPr="003101B1">
        <w:rPr>
          <w:b/>
          <w:bCs/>
          <w:i/>
          <w:iCs/>
          <w:lang w:val="en-GB" w:eastAsia="ro-MD"/>
        </w:rPr>
        <w:t>Amortisation of eligible liabilities instruments</w:t>
      </w:r>
    </w:p>
    <w:p w14:paraId="58478E47" w14:textId="7FAE0883"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12</w:t>
      </w:r>
      <w:r w:rsidRPr="003101B1">
        <w:rPr>
          <w:b/>
          <w:bCs/>
          <w:lang w:val="en-GB" w:eastAsia="ro-MD"/>
        </w:rPr>
        <w:t>.</w:t>
      </w:r>
      <w:r w:rsidRPr="003101B1">
        <w:rPr>
          <w:lang w:val="en-GB" w:eastAsia="ro-MD"/>
        </w:rPr>
        <w:t xml:space="preserve"> </w:t>
      </w:r>
      <w:r w:rsidR="00CA611F" w:rsidRPr="003101B1">
        <w:rPr>
          <w:lang w:val="en-GB" w:eastAsia="ro-MD"/>
        </w:rPr>
        <w:t>Eligible liabilities instruments with a residual maturity of at least one year shall fully qualify as eligible liabilities items</w:t>
      </w:r>
      <w:r w:rsidRPr="003101B1">
        <w:rPr>
          <w:lang w:val="en-GB" w:eastAsia="ro-MD"/>
        </w:rPr>
        <w:t xml:space="preserve">. </w:t>
      </w:r>
    </w:p>
    <w:p w14:paraId="4C2A2324" w14:textId="5593F30A"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13</w:t>
      </w:r>
      <w:r w:rsidRPr="003101B1">
        <w:rPr>
          <w:b/>
          <w:bCs/>
          <w:lang w:val="en-GB" w:eastAsia="ro-MD"/>
        </w:rPr>
        <w:t>.</w:t>
      </w:r>
      <w:r w:rsidRPr="003101B1">
        <w:rPr>
          <w:lang w:val="en-GB" w:eastAsia="ro-MD"/>
        </w:rPr>
        <w:t xml:space="preserve"> </w:t>
      </w:r>
      <w:r w:rsidR="00CA611F" w:rsidRPr="003101B1">
        <w:rPr>
          <w:lang w:val="en-GB" w:eastAsia="ro-MD"/>
        </w:rPr>
        <w:t>Eligible liabilities instruments with a residual maturity of less than one year shall not qualify as eligible liabilities items</w:t>
      </w:r>
      <w:r w:rsidRPr="003101B1">
        <w:rPr>
          <w:lang w:val="en-GB" w:eastAsia="ro-MD"/>
        </w:rPr>
        <w:t>.</w:t>
      </w:r>
      <w:r w:rsidRPr="003101B1">
        <w:rPr>
          <w:sz w:val="18"/>
          <w:szCs w:val="18"/>
          <w:highlight w:val="lightGray"/>
          <w:lang w:val="en-GB" w:eastAsia="ro-MD"/>
        </w:rPr>
        <w:t xml:space="preserve"> </w:t>
      </w:r>
    </w:p>
    <w:p w14:paraId="079304C2" w14:textId="7FE892F3"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14</w:t>
      </w:r>
      <w:r w:rsidRPr="003101B1">
        <w:rPr>
          <w:b/>
          <w:bCs/>
          <w:lang w:val="en-GB" w:eastAsia="ro-MD"/>
        </w:rPr>
        <w:t>.</w:t>
      </w:r>
      <w:r w:rsidRPr="003101B1">
        <w:rPr>
          <w:lang w:val="en-GB" w:eastAsia="ro-MD"/>
        </w:rPr>
        <w:t xml:space="preserve"> </w:t>
      </w:r>
      <w:r w:rsidR="00CA611F" w:rsidRPr="003101B1">
        <w:rPr>
          <w:lang w:val="en-GB" w:eastAsia="ro-MD"/>
        </w:rPr>
        <w:t xml:space="preserve">For the purposes of paragraphs </w:t>
      </w:r>
      <w:r w:rsidRPr="003101B1">
        <w:rPr>
          <w:lang w:val="en-GB" w:eastAsia="ro-MD"/>
        </w:rPr>
        <w:t>109</w:t>
      </w:r>
      <w:r w:rsidRPr="003101B1">
        <w:rPr>
          <w:vertAlign w:val="superscript"/>
          <w:lang w:val="en-GB" w:eastAsia="ro-MD"/>
        </w:rPr>
        <w:t>12</w:t>
      </w:r>
      <w:r w:rsidRPr="003101B1">
        <w:rPr>
          <w:lang w:val="en-GB" w:eastAsia="ro-MD"/>
        </w:rPr>
        <w:t>-109</w:t>
      </w:r>
      <w:r w:rsidRPr="003101B1">
        <w:rPr>
          <w:vertAlign w:val="superscript"/>
          <w:lang w:val="en-GB" w:eastAsia="ro-MD"/>
        </w:rPr>
        <w:t>13</w:t>
      </w:r>
      <w:r w:rsidR="00CA611F" w:rsidRPr="003101B1">
        <w:rPr>
          <w:vertAlign w:val="superscript"/>
          <w:lang w:val="en-GB" w:eastAsia="ro-MD"/>
        </w:rPr>
        <w:t xml:space="preserve"> </w:t>
      </w:r>
      <w:r w:rsidR="00CA611F" w:rsidRPr="003101B1">
        <w:rPr>
          <w:lang w:val="en-GB" w:eastAsia="ro-MD"/>
        </w:rPr>
        <w:t>where an eligible liabilities instrument includes a holder redemption option exercisable prior to the original stated maturity of the instrument, the maturity of the instrument shall be defined as the earliest possible date on which the holder can exercise the redemption option and request redemption or repayment of the instrument</w:t>
      </w:r>
      <w:r w:rsidRPr="003101B1">
        <w:rPr>
          <w:lang w:val="en-GB" w:eastAsia="ro-MD"/>
        </w:rPr>
        <w:t>.</w:t>
      </w:r>
      <w:r w:rsidRPr="003101B1">
        <w:rPr>
          <w:sz w:val="18"/>
          <w:szCs w:val="18"/>
          <w:highlight w:val="lightGray"/>
          <w:lang w:val="en-GB" w:eastAsia="ro-MD"/>
        </w:rPr>
        <w:t xml:space="preserve"> </w:t>
      </w:r>
    </w:p>
    <w:p w14:paraId="2E2A3070" w14:textId="7552147E"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15</w:t>
      </w:r>
      <w:r w:rsidRPr="003101B1">
        <w:rPr>
          <w:b/>
          <w:bCs/>
          <w:lang w:val="en-GB" w:eastAsia="ro-MD"/>
        </w:rPr>
        <w:t>.</w:t>
      </w:r>
      <w:r w:rsidRPr="003101B1">
        <w:rPr>
          <w:lang w:val="en-GB" w:eastAsia="ro-MD"/>
        </w:rPr>
        <w:t xml:space="preserve"> </w:t>
      </w:r>
      <w:r w:rsidR="00CA611F" w:rsidRPr="003101B1">
        <w:rPr>
          <w:lang w:val="en-GB" w:eastAsia="ro-MD"/>
        </w:rPr>
        <w:t xml:space="preserve">For the purposes of paragraphs </w:t>
      </w:r>
      <w:r w:rsidRPr="003101B1">
        <w:rPr>
          <w:lang w:val="en-GB" w:eastAsia="ro-MD"/>
        </w:rPr>
        <w:t>109</w:t>
      </w:r>
      <w:r w:rsidRPr="003101B1">
        <w:rPr>
          <w:vertAlign w:val="superscript"/>
          <w:lang w:val="en-GB" w:eastAsia="ro-MD"/>
        </w:rPr>
        <w:t>12</w:t>
      </w:r>
      <w:r w:rsidRPr="003101B1">
        <w:rPr>
          <w:lang w:val="en-GB" w:eastAsia="ro-MD"/>
        </w:rPr>
        <w:t>-109</w:t>
      </w:r>
      <w:r w:rsidRPr="003101B1">
        <w:rPr>
          <w:vertAlign w:val="superscript"/>
          <w:lang w:val="en-GB" w:eastAsia="ro-MD"/>
        </w:rPr>
        <w:t>13</w:t>
      </w:r>
      <w:r w:rsidRPr="003101B1">
        <w:rPr>
          <w:lang w:val="en-GB" w:eastAsia="ro-MD"/>
        </w:rPr>
        <w:t xml:space="preserve">, </w:t>
      </w:r>
      <w:r w:rsidR="00CA611F" w:rsidRPr="003101B1">
        <w:rPr>
          <w:lang w:val="en-GB" w:eastAsia="ro-MD"/>
        </w:rPr>
        <w:t>where an eligible liabilities instrument includes an incentive for the issuer to call, redeem, repay or repurchase the instrument prior to the original stated maturity of the instrument, the maturity of the instrument shall be defined as the earliest possible date on which the issuer can exercise that option and request redemption or repayment for that instrument</w:t>
      </w:r>
      <w:r w:rsidRPr="003101B1">
        <w:rPr>
          <w:lang w:val="en-GB" w:eastAsia="ro-MD"/>
        </w:rPr>
        <w:t>.</w:t>
      </w:r>
      <w:r w:rsidRPr="003101B1">
        <w:rPr>
          <w:sz w:val="18"/>
          <w:szCs w:val="18"/>
          <w:highlight w:val="lightGray"/>
          <w:lang w:val="en-GB" w:eastAsia="ro-MD"/>
        </w:rPr>
        <w:t xml:space="preserve"> </w:t>
      </w:r>
    </w:p>
    <w:p w14:paraId="239107BD" w14:textId="2ADF58B4"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16</w:t>
      </w:r>
      <w:r w:rsidRPr="003101B1">
        <w:rPr>
          <w:b/>
          <w:bCs/>
          <w:lang w:val="en-GB" w:eastAsia="ro-MD"/>
        </w:rPr>
        <w:t>.</w:t>
      </w:r>
      <w:r w:rsidRPr="003101B1">
        <w:rPr>
          <w:lang w:val="en-GB" w:eastAsia="ro-MD"/>
        </w:rPr>
        <w:t xml:space="preserve"> </w:t>
      </w:r>
      <w:r w:rsidR="00CA611F" w:rsidRPr="003101B1">
        <w:rPr>
          <w:lang w:val="en-GB" w:eastAsia="ro-MD"/>
        </w:rPr>
        <w:t xml:space="preserve">For the purposes of paragraphs </w:t>
      </w:r>
      <w:r w:rsidRPr="003101B1">
        <w:rPr>
          <w:lang w:val="en-GB" w:eastAsia="ro-MD"/>
        </w:rPr>
        <w:t>109</w:t>
      </w:r>
      <w:r w:rsidRPr="003101B1">
        <w:rPr>
          <w:vertAlign w:val="superscript"/>
          <w:lang w:val="en-GB" w:eastAsia="ro-MD"/>
        </w:rPr>
        <w:t>12</w:t>
      </w:r>
      <w:r w:rsidRPr="003101B1">
        <w:rPr>
          <w:lang w:val="en-GB" w:eastAsia="ro-MD"/>
        </w:rPr>
        <w:t>-109</w:t>
      </w:r>
      <w:r w:rsidRPr="003101B1">
        <w:rPr>
          <w:vertAlign w:val="superscript"/>
          <w:lang w:val="en-GB" w:eastAsia="ro-MD"/>
        </w:rPr>
        <w:t>13</w:t>
      </w:r>
      <w:r w:rsidRPr="003101B1">
        <w:rPr>
          <w:lang w:val="en-GB" w:eastAsia="ro-MD"/>
        </w:rPr>
        <w:t xml:space="preserve">, </w:t>
      </w:r>
      <w:r w:rsidR="00907FB1" w:rsidRPr="003101B1">
        <w:rPr>
          <w:lang w:val="en-GB" w:eastAsia="ro-MD"/>
        </w:rPr>
        <w:t>where an eligible liabilities instrument includes early redemption options exercisable at the sole discretion of the issuer prior to the original stated maturity of the instrument, but the provisions governing the instrument do not include any incentive for the instrument to be called, redeemed, repaid or repurchased prior to its maturity and do not include any option for redemption or repayment at the discretion of the holders, the maturity of the instrument shall be defined as the original stated maturity</w:t>
      </w:r>
      <w:r w:rsidRPr="003101B1">
        <w:rPr>
          <w:lang w:val="en-GB" w:eastAsia="ro-MD"/>
        </w:rPr>
        <w:t>.</w:t>
      </w:r>
      <w:r w:rsidRPr="003101B1">
        <w:rPr>
          <w:sz w:val="18"/>
          <w:szCs w:val="18"/>
          <w:highlight w:val="lightGray"/>
          <w:lang w:val="en-GB" w:eastAsia="ro-MD"/>
        </w:rPr>
        <w:t xml:space="preserve"> </w:t>
      </w:r>
    </w:p>
    <w:p w14:paraId="0DE2A957" w14:textId="12DC0E1D" w:rsidR="00F93D86" w:rsidRPr="003101B1" w:rsidRDefault="00F93D86" w:rsidP="00FF2FD6">
      <w:pPr>
        <w:spacing w:before="80"/>
        <w:jc w:val="center"/>
        <w:rPr>
          <w:b/>
          <w:bCs/>
          <w:i/>
          <w:iCs/>
          <w:lang w:val="en-GB" w:eastAsia="ro-MD"/>
        </w:rPr>
      </w:pPr>
      <w:bookmarkStart w:id="18" w:name="_Hlk203488079"/>
      <w:r w:rsidRPr="003101B1">
        <w:rPr>
          <w:b/>
          <w:bCs/>
          <w:i/>
          <w:iCs/>
          <w:lang w:val="en-GB" w:eastAsia="ro-MD"/>
        </w:rPr>
        <w:t>Subsec</w:t>
      </w:r>
      <w:r w:rsidR="00F10EAB" w:rsidRPr="003101B1">
        <w:rPr>
          <w:b/>
          <w:bCs/>
          <w:i/>
          <w:iCs/>
          <w:lang w:val="en-GB" w:eastAsia="ro-MD"/>
        </w:rPr>
        <w:t>tion</w:t>
      </w:r>
      <w:r w:rsidRPr="003101B1">
        <w:rPr>
          <w:b/>
          <w:bCs/>
          <w:i/>
          <w:iCs/>
          <w:lang w:val="en-GB" w:eastAsia="ro-MD"/>
        </w:rPr>
        <w:t xml:space="preserve"> 4</w:t>
      </w:r>
    </w:p>
    <w:bookmarkEnd w:id="18"/>
    <w:p w14:paraId="4B87339D" w14:textId="0779FE0E" w:rsidR="00F93D86" w:rsidRPr="003101B1" w:rsidRDefault="00F10EAB" w:rsidP="00F93D86">
      <w:pPr>
        <w:jc w:val="center"/>
        <w:rPr>
          <w:lang w:val="en-GB" w:eastAsia="ro-MD"/>
        </w:rPr>
      </w:pPr>
      <w:r w:rsidRPr="003101B1">
        <w:rPr>
          <w:b/>
          <w:bCs/>
          <w:i/>
          <w:iCs/>
          <w:lang w:val="en-GB" w:eastAsia="ro-MD"/>
        </w:rPr>
        <w:t>Consequences of the eligibility conditions ceasing to be met</w:t>
      </w:r>
    </w:p>
    <w:p w14:paraId="0A1F9AC8" w14:textId="4497112D"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17</w:t>
      </w:r>
      <w:r w:rsidRPr="003101B1">
        <w:rPr>
          <w:b/>
          <w:bCs/>
          <w:lang w:val="en-GB" w:eastAsia="ro-MD"/>
        </w:rPr>
        <w:t xml:space="preserve">. </w:t>
      </w:r>
      <w:r w:rsidR="008048AE" w:rsidRPr="003101B1">
        <w:rPr>
          <w:lang w:val="en-GB" w:eastAsia="ro-MD"/>
        </w:rPr>
        <w:t>Where an eligible liabilities instrument no longer meets the conditions set out in paragraphs</w:t>
      </w:r>
      <w:r w:rsidRPr="003101B1">
        <w:rPr>
          <w:lang w:val="en-GB" w:eastAsia="ro-MD"/>
        </w:rPr>
        <w:t xml:space="preserve"> 109</w:t>
      </w:r>
      <w:r w:rsidRPr="003101B1">
        <w:rPr>
          <w:vertAlign w:val="superscript"/>
          <w:lang w:val="en-GB" w:eastAsia="ro-MD"/>
        </w:rPr>
        <w:t>4</w:t>
      </w:r>
      <w:r w:rsidRPr="003101B1">
        <w:rPr>
          <w:lang w:val="en-GB" w:eastAsia="ro-MD"/>
        </w:rPr>
        <w:t>-109</w:t>
      </w:r>
      <w:r w:rsidRPr="003101B1">
        <w:rPr>
          <w:vertAlign w:val="superscript"/>
          <w:lang w:val="en-GB" w:eastAsia="ro-MD"/>
        </w:rPr>
        <w:t>11</w:t>
      </w:r>
      <w:r w:rsidRPr="003101B1">
        <w:rPr>
          <w:lang w:val="en-GB" w:eastAsia="ro-MD"/>
        </w:rPr>
        <w:t xml:space="preserve">, </w:t>
      </w:r>
      <w:r w:rsidR="008048AE" w:rsidRPr="003101B1">
        <w:rPr>
          <w:lang w:val="en-GB" w:eastAsia="ro-MD"/>
        </w:rPr>
        <w:t>the liabilities immediately cease to qualify as eligible liabilities instruments</w:t>
      </w:r>
      <w:r w:rsidRPr="003101B1">
        <w:rPr>
          <w:lang w:val="en-GB" w:eastAsia="ro-MD"/>
        </w:rPr>
        <w:t>.</w:t>
      </w:r>
      <w:r w:rsidRPr="003101B1">
        <w:rPr>
          <w:sz w:val="18"/>
          <w:szCs w:val="18"/>
          <w:highlight w:val="lightGray"/>
          <w:lang w:val="en-GB" w:eastAsia="ro-MD"/>
        </w:rPr>
        <w:t xml:space="preserve"> </w:t>
      </w:r>
    </w:p>
    <w:p w14:paraId="79819D74" w14:textId="56EFDEF0"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18</w:t>
      </w:r>
      <w:r w:rsidRPr="003101B1">
        <w:rPr>
          <w:b/>
          <w:bCs/>
          <w:lang w:val="en-GB" w:eastAsia="ro-MD"/>
        </w:rPr>
        <w:t xml:space="preserve">. </w:t>
      </w:r>
      <w:r w:rsidR="008048AE" w:rsidRPr="003101B1">
        <w:rPr>
          <w:lang w:val="en-GB" w:eastAsia="ro-MD"/>
        </w:rPr>
        <w:t xml:space="preserve">Liabilities referred to in paragraph </w:t>
      </w:r>
      <w:r w:rsidRPr="003101B1">
        <w:rPr>
          <w:lang w:val="en-GB" w:eastAsia="ro-MD"/>
        </w:rPr>
        <w:t>109</w:t>
      </w:r>
      <w:r w:rsidRPr="003101B1">
        <w:rPr>
          <w:vertAlign w:val="superscript"/>
          <w:lang w:val="en-GB" w:eastAsia="ro-MD"/>
        </w:rPr>
        <w:t>5</w:t>
      </w:r>
      <w:r w:rsidRPr="003101B1">
        <w:rPr>
          <w:lang w:val="en-GB" w:eastAsia="ro-MD"/>
        </w:rPr>
        <w:t xml:space="preserve"> </w:t>
      </w:r>
      <w:r w:rsidR="008048AE" w:rsidRPr="003101B1">
        <w:rPr>
          <w:lang w:val="en-GB" w:eastAsia="ro-MD"/>
        </w:rPr>
        <w:t xml:space="preserve">may continue to qualify as eligible liabilities instruments as long as they qualify as eligible liabilities instruments under paragraphs </w:t>
      </w:r>
      <w:r w:rsidRPr="003101B1">
        <w:rPr>
          <w:lang w:val="en-GB" w:eastAsia="ro-MD"/>
        </w:rPr>
        <w:t>109</w:t>
      </w:r>
      <w:r w:rsidRPr="003101B1">
        <w:rPr>
          <w:vertAlign w:val="superscript"/>
          <w:lang w:val="en-GB" w:eastAsia="ro-MD"/>
        </w:rPr>
        <w:t>7</w:t>
      </w:r>
      <w:r w:rsidRPr="003101B1">
        <w:rPr>
          <w:lang w:val="en-GB" w:eastAsia="ro-MD"/>
        </w:rPr>
        <w:t xml:space="preserve"> </w:t>
      </w:r>
      <w:r w:rsidR="008048AE" w:rsidRPr="003101B1">
        <w:rPr>
          <w:lang w:val="en-GB" w:eastAsia="ro-MD"/>
        </w:rPr>
        <w:t>or</w:t>
      </w:r>
      <w:r w:rsidRPr="003101B1">
        <w:rPr>
          <w:lang w:val="en-GB" w:eastAsia="ro-MD"/>
        </w:rPr>
        <w:t xml:space="preserve"> 109</w:t>
      </w:r>
      <w:r w:rsidRPr="003101B1">
        <w:rPr>
          <w:vertAlign w:val="superscript"/>
          <w:lang w:val="en-GB" w:eastAsia="ro-MD"/>
        </w:rPr>
        <w:t>8</w:t>
      </w:r>
      <w:r w:rsidRPr="003101B1">
        <w:rPr>
          <w:lang w:val="en-GB" w:eastAsia="ro-MD"/>
        </w:rPr>
        <w:t>.</w:t>
      </w:r>
    </w:p>
    <w:p w14:paraId="333D16A1" w14:textId="5E5017D3" w:rsidR="00F10EAB" w:rsidRPr="003101B1" w:rsidRDefault="00F93D86" w:rsidP="00F10EAB">
      <w:pPr>
        <w:spacing w:before="80"/>
        <w:jc w:val="center"/>
        <w:rPr>
          <w:b/>
          <w:bCs/>
          <w:i/>
          <w:iCs/>
          <w:lang w:val="en-GB" w:eastAsia="ro-MD"/>
        </w:rPr>
      </w:pPr>
      <w:r w:rsidRPr="003101B1">
        <w:rPr>
          <w:b/>
          <w:bCs/>
          <w:i/>
          <w:iCs/>
          <w:lang w:val="en-GB" w:eastAsia="ro-MD"/>
        </w:rPr>
        <w:t>Subsec</w:t>
      </w:r>
      <w:r w:rsidR="00F10EAB" w:rsidRPr="003101B1">
        <w:rPr>
          <w:b/>
          <w:bCs/>
          <w:i/>
          <w:iCs/>
          <w:lang w:val="en-GB" w:eastAsia="ro-MD"/>
        </w:rPr>
        <w:t>tion</w:t>
      </w:r>
      <w:r w:rsidRPr="003101B1">
        <w:rPr>
          <w:b/>
          <w:bCs/>
          <w:i/>
          <w:iCs/>
          <w:lang w:val="en-GB" w:eastAsia="ro-MD"/>
        </w:rPr>
        <w:t xml:space="preserve"> 5</w:t>
      </w:r>
    </w:p>
    <w:p w14:paraId="4999F062" w14:textId="2BEC1B27" w:rsidR="00F93D86" w:rsidRPr="003101B1" w:rsidRDefault="00F10EAB" w:rsidP="00F93D86">
      <w:pPr>
        <w:jc w:val="center"/>
        <w:rPr>
          <w:lang w:val="en-GB" w:eastAsia="ro-MD"/>
        </w:rPr>
      </w:pPr>
      <w:r w:rsidRPr="003101B1">
        <w:rPr>
          <w:b/>
          <w:bCs/>
          <w:i/>
          <w:iCs/>
          <w:lang w:val="en-GB" w:eastAsia="ro-MD"/>
        </w:rPr>
        <w:t xml:space="preserve"> Deductions from eligible liabilities items and deduction of holdings of own eligible liabilities instruments</w:t>
      </w:r>
    </w:p>
    <w:p w14:paraId="0D92B26C" w14:textId="0F4AE758"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19</w:t>
      </w:r>
      <w:r w:rsidRPr="003101B1">
        <w:rPr>
          <w:b/>
          <w:bCs/>
          <w:lang w:val="en-GB" w:eastAsia="ro-MD"/>
        </w:rPr>
        <w:t xml:space="preserve">. </w:t>
      </w:r>
      <w:r w:rsidR="009B0DE2" w:rsidRPr="003101B1">
        <w:rPr>
          <w:lang w:val="en-GB" w:eastAsia="ro-MD"/>
        </w:rPr>
        <w:t xml:space="preserve">For the purposes of this Section, all instruments ranking pari passu with eligible liabilities instruments shall be treated as eligible liabilities instruments, except for instruments ranking pari passu with instruments recognised as eligible liabilities pursuant to paragraphs </w:t>
      </w:r>
      <w:r w:rsidRPr="003101B1">
        <w:rPr>
          <w:lang w:val="en-GB" w:eastAsia="ro-MD"/>
        </w:rPr>
        <w:t>109</w:t>
      </w:r>
      <w:r w:rsidRPr="003101B1">
        <w:rPr>
          <w:vertAlign w:val="superscript"/>
          <w:lang w:val="en-GB" w:eastAsia="ro-MD"/>
        </w:rPr>
        <w:t>7</w:t>
      </w:r>
      <w:r w:rsidRPr="003101B1">
        <w:rPr>
          <w:lang w:val="en-GB" w:eastAsia="ro-MD"/>
        </w:rPr>
        <w:t>-109</w:t>
      </w:r>
      <w:r w:rsidRPr="003101B1">
        <w:rPr>
          <w:vertAlign w:val="superscript"/>
          <w:lang w:val="en-GB" w:eastAsia="ro-MD"/>
        </w:rPr>
        <w:t>8</w:t>
      </w:r>
      <w:r w:rsidRPr="003101B1">
        <w:rPr>
          <w:lang w:val="en-GB" w:eastAsia="ro-MD"/>
        </w:rPr>
        <w:t>.</w:t>
      </w:r>
      <w:r w:rsidRPr="003101B1">
        <w:rPr>
          <w:sz w:val="18"/>
          <w:szCs w:val="18"/>
          <w:highlight w:val="lightGray"/>
          <w:lang w:val="en-GB" w:eastAsia="ro-MD"/>
        </w:rPr>
        <w:t xml:space="preserve"> </w:t>
      </w:r>
    </w:p>
    <w:p w14:paraId="4FD37FBF" w14:textId="6AAE6D43"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20</w:t>
      </w:r>
      <w:r w:rsidRPr="003101B1">
        <w:rPr>
          <w:b/>
          <w:bCs/>
          <w:lang w:val="en-GB" w:eastAsia="ro-MD"/>
        </w:rPr>
        <w:t>.</w:t>
      </w:r>
      <w:r w:rsidRPr="003101B1">
        <w:rPr>
          <w:lang w:val="en-GB" w:eastAsia="ro-MD"/>
        </w:rPr>
        <w:t xml:space="preserve"> </w:t>
      </w:r>
      <w:r w:rsidR="009B0DE2" w:rsidRPr="003101B1">
        <w:rPr>
          <w:lang w:val="en-GB" w:eastAsia="ro-MD"/>
        </w:rPr>
        <w:t xml:space="preserve">For the purposes of this Section, banks may calculate the amount of holdings of eligible liabilities instruments referred to in paragraph </w:t>
      </w:r>
      <w:r w:rsidRPr="003101B1">
        <w:rPr>
          <w:lang w:val="en-GB" w:eastAsia="ro-MD"/>
        </w:rPr>
        <w:t>109</w:t>
      </w:r>
      <w:r w:rsidRPr="003101B1">
        <w:rPr>
          <w:vertAlign w:val="superscript"/>
          <w:lang w:val="en-GB" w:eastAsia="ro-MD"/>
        </w:rPr>
        <w:t>7</w:t>
      </w:r>
      <w:r w:rsidRPr="003101B1">
        <w:rPr>
          <w:lang w:val="en-GB" w:eastAsia="ro-MD"/>
        </w:rPr>
        <w:t xml:space="preserve">, </w:t>
      </w:r>
      <w:r w:rsidR="009B0DE2" w:rsidRPr="003101B1">
        <w:rPr>
          <w:lang w:val="en-GB" w:eastAsia="ro-MD"/>
        </w:rPr>
        <w:t>as follows</w:t>
      </w:r>
      <w:r w:rsidRPr="003101B1">
        <w:rPr>
          <w:lang w:val="en-GB" w:eastAsia="ro-MD"/>
        </w:rPr>
        <w:t>:</w:t>
      </w:r>
    </w:p>
    <w:p w14:paraId="7FD8AA29" w14:textId="77777777" w:rsidR="00F93D86" w:rsidRPr="003101B1" w:rsidRDefault="00F93D86" w:rsidP="00F93D86">
      <w:pPr>
        <w:tabs>
          <w:tab w:val="left" w:pos="8647"/>
          <w:tab w:val="left" w:pos="8789"/>
        </w:tabs>
        <w:spacing w:after="160" w:line="259" w:lineRule="auto"/>
        <w:ind w:left="173" w:right="567" w:firstLine="425"/>
        <w:jc w:val="both"/>
        <w:rPr>
          <w:rFonts w:ascii="Calibri" w:eastAsia="Calibri" w:hAnsi="Calibri"/>
          <w:kern w:val="2"/>
          <w:sz w:val="22"/>
          <w:szCs w:val="22"/>
          <w:lang w:val="en-GB"/>
          <w14:ligatures w14:val="standardContextual"/>
        </w:rPr>
      </w:pPr>
      <w:r w:rsidRPr="003101B1">
        <w:rPr>
          <w:rFonts w:ascii="Calibri" w:eastAsia="Calibri" w:hAnsi="Calibri"/>
          <w:noProof/>
          <w:kern w:val="2"/>
          <w:sz w:val="22"/>
          <w:szCs w:val="22"/>
          <w:lang w:val="en-GB"/>
          <w14:ligatures w14:val="standardContextual"/>
        </w:rPr>
        <w:drawing>
          <wp:inline distT="0" distB="0" distL="0" distR="0" wp14:anchorId="0A9A755B" wp14:editId="6294E6AB">
            <wp:extent cx="1809750" cy="695325"/>
            <wp:effectExtent l="0" t="0" r="0" b="9525"/>
            <wp:docPr id="36298858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695325"/>
                    </a:xfrm>
                    <a:prstGeom prst="rect">
                      <a:avLst/>
                    </a:prstGeom>
                    <a:noFill/>
                    <a:ln>
                      <a:noFill/>
                    </a:ln>
                  </pic:spPr>
                </pic:pic>
              </a:graphicData>
            </a:graphic>
          </wp:inline>
        </w:drawing>
      </w:r>
    </w:p>
    <w:p w14:paraId="3604D6B0" w14:textId="221625F0" w:rsidR="00F93D86" w:rsidRPr="003101B1" w:rsidRDefault="009B0DE2" w:rsidP="00F93D86">
      <w:pPr>
        <w:ind w:firstLine="567"/>
        <w:jc w:val="both"/>
        <w:rPr>
          <w:lang w:val="en-GB" w:eastAsia="ro-MD"/>
        </w:rPr>
      </w:pPr>
      <w:r w:rsidRPr="003101B1">
        <w:rPr>
          <w:lang w:val="en-GB" w:eastAsia="ro-MD"/>
        </w:rPr>
        <w:t>where</w:t>
      </w:r>
      <w:r w:rsidR="00F93D86" w:rsidRPr="003101B1">
        <w:rPr>
          <w:lang w:val="en-GB" w:eastAsia="ro-MD"/>
        </w:rPr>
        <w:t>:</w:t>
      </w:r>
    </w:p>
    <w:p w14:paraId="72ACF813" w14:textId="77777777" w:rsidR="00F93D86" w:rsidRPr="003101B1" w:rsidRDefault="00F93D86" w:rsidP="00F93D86">
      <w:pPr>
        <w:ind w:firstLine="567"/>
        <w:jc w:val="both"/>
        <w:rPr>
          <w:lang w:val="en-GB" w:eastAsia="ro-MD"/>
        </w:rPr>
      </w:pPr>
    </w:p>
    <w:p w14:paraId="70B5DE72" w14:textId="0DFD0CDA" w:rsidR="00F93D86" w:rsidRPr="003101B1" w:rsidRDefault="00F93D86" w:rsidP="00F93D86">
      <w:pPr>
        <w:ind w:firstLine="567"/>
        <w:jc w:val="both"/>
        <w:rPr>
          <w:lang w:val="en-GB" w:eastAsia="ro-MD"/>
        </w:rPr>
      </w:pPr>
      <w:r w:rsidRPr="003101B1">
        <w:rPr>
          <w:lang w:val="en-GB" w:eastAsia="ro-MD"/>
        </w:rPr>
        <w:t>h=</w:t>
      </w:r>
      <w:r w:rsidR="009B0DE2" w:rsidRPr="003101B1">
        <w:rPr>
          <w:rFonts w:ascii="Arial Unicode MS" w:eastAsia="Arial Unicode MS" w:hAnsi="Arial Unicode MS" w:cs="Arial Unicode MS"/>
          <w:color w:val="333333"/>
          <w:sz w:val="21"/>
          <w:szCs w:val="21"/>
          <w:shd w:val="clear" w:color="auto" w:fill="FFFFFF"/>
          <w:lang w:val="en-GB"/>
        </w:rPr>
        <w:t xml:space="preserve"> </w:t>
      </w:r>
      <w:r w:rsidR="009B0DE2" w:rsidRPr="003101B1">
        <w:rPr>
          <w:lang w:val="en-GB" w:eastAsia="ro-MD"/>
        </w:rPr>
        <w:t xml:space="preserve">the amount of holdings of the eligible liabilities instruments referred to in paragraph </w:t>
      </w:r>
      <w:r w:rsidRPr="003101B1">
        <w:rPr>
          <w:lang w:val="en-GB" w:eastAsia="ro-MD"/>
        </w:rPr>
        <w:t>109</w:t>
      </w:r>
      <w:r w:rsidRPr="003101B1">
        <w:rPr>
          <w:vertAlign w:val="superscript"/>
          <w:lang w:val="en-GB" w:eastAsia="ro-MD"/>
        </w:rPr>
        <w:t>7</w:t>
      </w:r>
      <w:r w:rsidRPr="003101B1">
        <w:rPr>
          <w:lang w:val="en-GB" w:eastAsia="ro-MD"/>
        </w:rPr>
        <w:t>;</w:t>
      </w:r>
    </w:p>
    <w:p w14:paraId="0C23AAD6" w14:textId="5408DEA2" w:rsidR="00F93D86" w:rsidRPr="003101B1" w:rsidRDefault="00F93D86" w:rsidP="00F93D86">
      <w:pPr>
        <w:ind w:firstLine="567"/>
        <w:jc w:val="both"/>
        <w:rPr>
          <w:lang w:val="en-GB" w:eastAsia="ro-MD"/>
        </w:rPr>
      </w:pPr>
      <w:r w:rsidRPr="003101B1">
        <w:rPr>
          <w:lang w:val="en-GB" w:eastAsia="ro-MD"/>
        </w:rPr>
        <w:t>i=</w:t>
      </w:r>
      <w:r w:rsidR="009B0DE2" w:rsidRPr="003101B1">
        <w:rPr>
          <w:rFonts w:ascii="Arial Unicode MS" w:eastAsia="Arial Unicode MS" w:hAnsi="Arial Unicode MS" w:cs="Arial Unicode MS"/>
          <w:color w:val="333333"/>
          <w:sz w:val="21"/>
          <w:szCs w:val="21"/>
          <w:shd w:val="clear" w:color="auto" w:fill="FFFFFF"/>
          <w:lang w:val="en-GB"/>
        </w:rPr>
        <w:t xml:space="preserve"> </w:t>
      </w:r>
      <w:r w:rsidR="009B0DE2" w:rsidRPr="003101B1">
        <w:rPr>
          <w:lang w:val="en-GB" w:eastAsia="ro-MD"/>
        </w:rPr>
        <w:t>the index denoting the issuing bank</w:t>
      </w:r>
      <w:r w:rsidRPr="003101B1">
        <w:rPr>
          <w:lang w:val="en-GB" w:eastAsia="ro-MD"/>
        </w:rPr>
        <w:t>;</w:t>
      </w:r>
    </w:p>
    <w:p w14:paraId="4F5D8B1D" w14:textId="3EA50618" w:rsidR="00F93D86" w:rsidRPr="003101B1" w:rsidRDefault="00F93D86" w:rsidP="00F93D86">
      <w:pPr>
        <w:ind w:firstLine="567"/>
        <w:jc w:val="both"/>
        <w:rPr>
          <w:lang w:val="en-GB" w:eastAsia="ro-MD"/>
        </w:rPr>
      </w:pPr>
      <w:r w:rsidRPr="003101B1">
        <w:rPr>
          <w:lang w:val="en-GB" w:eastAsia="ro-MD"/>
        </w:rPr>
        <w:t>Hi=</w:t>
      </w:r>
      <w:r w:rsidR="009B0DE2" w:rsidRPr="003101B1">
        <w:rPr>
          <w:rFonts w:ascii="Arial Unicode MS" w:eastAsia="Arial Unicode MS" w:hAnsi="Arial Unicode MS" w:cs="Arial Unicode MS"/>
          <w:color w:val="333333"/>
          <w:sz w:val="21"/>
          <w:szCs w:val="21"/>
          <w:shd w:val="clear" w:color="auto" w:fill="FFFFFF"/>
          <w:lang w:val="en-GB"/>
        </w:rPr>
        <w:t xml:space="preserve"> </w:t>
      </w:r>
      <w:r w:rsidR="009B0DE2" w:rsidRPr="003101B1">
        <w:rPr>
          <w:lang w:val="en-GB" w:eastAsia="ro-MD"/>
        </w:rPr>
        <w:t xml:space="preserve">the total amount of holdings of eligible liabilities of the issuing bank i referred to in </w:t>
      </w:r>
      <w:r w:rsidRPr="003101B1">
        <w:rPr>
          <w:lang w:val="en-GB" w:eastAsia="ro-MD"/>
        </w:rPr>
        <w:t>109</w:t>
      </w:r>
      <w:r w:rsidRPr="003101B1">
        <w:rPr>
          <w:vertAlign w:val="superscript"/>
          <w:lang w:val="en-GB" w:eastAsia="ro-MD"/>
        </w:rPr>
        <w:t>7</w:t>
      </w:r>
      <w:r w:rsidRPr="003101B1">
        <w:rPr>
          <w:lang w:val="en-GB" w:eastAsia="ro-MD"/>
        </w:rPr>
        <w:t>;</w:t>
      </w:r>
    </w:p>
    <w:p w14:paraId="52AEBA4A" w14:textId="612C0A88" w:rsidR="00F93D86" w:rsidRPr="003101B1" w:rsidRDefault="00F93D86" w:rsidP="00F93D86">
      <w:pPr>
        <w:ind w:firstLine="567"/>
        <w:jc w:val="both"/>
        <w:rPr>
          <w:lang w:val="en-GB" w:eastAsia="ro-MD"/>
        </w:rPr>
      </w:pPr>
      <w:r w:rsidRPr="003101B1">
        <w:rPr>
          <w:lang w:val="en-GB" w:eastAsia="ro-MD"/>
        </w:rPr>
        <w:t>l</w:t>
      </w:r>
      <w:r w:rsidRPr="003101B1">
        <w:rPr>
          <w:b/>
          <w:bCs/>
          <w:vertAlign w:val="subscript"/>
          <w:lang w:val="en-GB" w:eastAsia="ro-MD"/>
        </w:rPr>
        <w:t>i</w:t>
      </w:r>
      <w:r w:rsidRPr="003101B1">
        <w:rPr>
          <w:lang w:val="en-GB" w:eastAsia="ro-MD"/>
        </w:rPr>
        <w:t>=</w:t>
      </w:r>
      <w:r w:rsidR="009B0DE2" w:rsidRPr="003101B1">
        <w:rPr>
          <w:rFonts w:ascii="Arial Unicode MS" w:eastAsia="Arial Unicode MS" w:hAnsi="Arial Unicode MS" w:cs="Arial Unicode MS"/>
          <w:color w:val="333333"/>
          <w:sz w:val="21"/>
          <w:szCs w:val="21"/>
          <w:shd w:val="clear" w:color="auto" w:fill="FFFFFF"/>
          <w:lang w:val="en-GB"/>
        </w:rPr>
        <w:t xml:space="preserve"> </w:t>
      </w:r>
      <w:r w:rsidR="009B0DE2" w:rsidRPr="003101B1">
        <w:rPr>
          <w:lang w:val="en-GB" w:eastAsia="ro-MD"/>
        </w:rPr>
        <w:t xml:space="preserve">the amount of liabilities included in eligible liabilities items by the issuing bank i within the limits specified in paragraph </w:t>
      </w:r>
      <w:r w:rsidRPr="003101B1">
        <w:rPr>
          <w:lang w:val="en-GB" w:eastAsia="ro-MD"/>
        </w:rPr>
        <w:t>109</w:t>
      </w:r>
      <w:r w:rsidRPr="003101B1">
        <w:rPr>
          <w:vertAlign w:val="superscript"/>
          <w:lang w:val="en-GB" w:eastAsia="ro-MD"/>
        </w:rPr>
        <w:t>7</w:t>
      </w:r>
      <w:r w:rsidRPr="003101B1">
        <w:rPr>
          <w:lang w:val="en-GB" w:eastAsia="ro-MD"/>
        </w:rPr>
        <w:t xml:space="preserve"> </w:t>
      </w:r>
      <w:r w:rsidR="009B0DE2" w:rsidRPr="003101B1">
        <w:rPr>
          <w:lang w:val="en-GB" w:eastAsia="ro-MD"/>
        </w:rPr>
        <w:t>according to the latest disclosures by the issuing bank; and</w:t>
      </w:r>
      <w:r w:rsidRPr="003101B1">
        <w:rPr>
          <w:lang w:val="en-GB" w:eastAsia="ro-MD"/>
        </w:rPr>
        <w:t>;</w:t>
      </w:r>
    </w:p>
    <w:p w14:paraId="142D9229" w14:textId="6644114F" w:rsidR="00F93D86" w:rsidRPr="003101B1" w:rsidRDefault="00F93D86" w:rsidP="00F93D86">
      <w:pPr>
        <w:ind w:firstLine="567"/>
        <w:jc w:val="both"/>
        <w:rPr>
          <w:lang w:val="en-GB" w:eastAsia="ro-MD"/>
        </w:rPr>
      </w:pPr>
      <w:r w:rsidRPr="003101B1">
        <w:rPr>
          <w:lang w:val="en-GB" w:eastAsia="ro-MD"/>
        </w:rPr>
        <w:t>L</w:t>
      </w:r>
      <w:r w:rsidRPr="003101B1">
        <w:rPr>
          <w:b/>
          <w:bCs/>
          <w:vertAlign w:val="subscript"/>
          <w:lang w:val="en-GB" w:eastAsia="ro-MD"/>
        </w:rPr>
        <w:t>i</w:t>
      </w:r>
      <w:r w:rsidRPr="003101B1">
        <w:rPr>
          <w:lang w:val="en-GB" w:eastAsia="ro-MD"/>
        </w:rPr>
        <w:t>=</w:t>
      </w:r>
      <w:r w:rsidR="009B0DE2" w:rsidRPr="003101B1">
        <w:rPr>
          <w:rFonts w:ascii="Arial Unicode MS" w:eastAsia="Arial Unicode MS" w:hAnsi="Arial Unicode MS" w:cs="Arial Unicode MS"/>
          <w:color w:val="333333"/>
          <w:sz w:val="21"/>
          <w:szCs w:val="21"/>
          <w:shd w:val="clear" w:color="auto" w:fill="FFFFFF"/>
          <w:lang w:val="en-GB"/>
        </w:rPr>
        <w:t xml:space="preserve"> </w:t>
      </w:r>
      <w:r w:rsidR="009B0DE2" w:rsidRPr="003101B1">
        <w:rPr>
          <w:lang w:val="en-GB" w:eastAsia="ro-MD"/>
        </w:rPr>
        <w:t xml:space="preserve">the total amount of the outstanding liabilities of the issuing bank i referred to in paragraph </w:t>
      </w:r>
      <w:r w:rsidRPr="003101B1">
        <w:rPr>
          <w:lang w:val="en-GB" w:eastAsia="ro-MD"/>
        </w:rPr>
        <w:t>109</w:t>
      </w:r>
      <w:r w:rsidRPr="003101B1">
        <w:rPr>
          <w:vertAlign w:val="superscript"/>
          <w:lang w:val="en-GB" w:eastAsia="ro-MD"/>
        </w:rPr>
        <w:t>7</w:t>
      </w:r>
      <w:r w:rsidRPr="003101B1">
        <w:rPr>
          <w:lang w:val="en-GB" w:eastAsia="ro-MD"/>
        </w:rPr>
        <w:t xml:space="preserve">, </w:t>
      </w:r>
      <w:r w:rsidR="009B0DE2" w:rsidRPr="003101B1">
        <w:rPr>
          <w:lang w:val="en-GB" w:eastAsia="ro-MD"/>
        </w:rPr>
        <w:t>according to the latest disclosures by the issuer</w:t>
      </w:r>
      <w:r w:rsidRPr="003101B1">
        <w:rPr>
          <w:lang w:val="en-GB" w:eastAsia="ro-MD"/>
        </w:rPr>
        <w:t>.</w:t>
      </w:r>
      <w:r w:rsidRPr="003101B1">
        <w:rPr>
          <w:sz w:val="18"/>
          <w:szCs w:val="18"/>
          <w:highlight w:val="lightGray"/>
          <w:lang w:val="en-GB" w:eastAsia="ro-MD"/>
        </w:rPr>
        <w:t xml:space="preserve"> </w:t>
      </w:r>
    </w:p>
    <w:p w14:paraId="334CEA3D" w14:textId="6FB2E232"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21</w:t>
      </w:r>
      <w:r w:rsidRPr="003101B1">
        <w:rPr>
          <w:b/>
          <w:bCs/>
          <w:lang w:val="en-GB" w:eastAsia="ro-MD"/>
        </w:rPr>
        <w:t>.</w:t>
      </w:r>
      <w:r w:rsidRPr="003101B1">
        <w:rPr>
          <w:lang w:val="en-GB" w:eastAsia="ro-MD"/>
        </w:rPr>
        <w:t xml:space="preserve"> </w:t>
      </w:r>
      <w:r w:rsidR="009B0DE2" w:rsidRPr="003101B1">
        <w:rPr>
          <w:lang w:val="en-GB" w:eastAsia="ro-MD"/>
        </w:rPr>
        <w:t>Banks and entities referred to in Article 1 letters b)-d) of Law No 232/2016 shall deduct from eligible liabilities items their holdings of own funds instruments and eligible liabilities instruments if the own funds instruments and eligible liabilities instruments are held by a bank or an entity that is not itself a resolution entity but is a subsidiary of a resolution entity or of a third-country entity that would be a resolution entity if it were established in the Republic of Moldova or in a Member State of the European Union</w:t>
      </w:r>
      <w:r w:rsidRPr="003101B1">
        <w:rPr>
          <w:lang w:val="en-GB" w:eastAsia="ro-MD"/>
        </w:rPr>
        <w:t>.</w:t>
      </w:r>
    </w:p>
    <w:p w14:paraId="28C2FA9B" w14:textId="59325231"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22</w:t>
      </w:r>
      <w:r w:rsidRPr="003101B1">
        <w:rPr>
          <w:b/>
          <w:bCs/>
          <w:lang w:val="en-GB" w:eastAsia="ro-MD"/>
        </w:rPr>
        <w:t xml:space="preserve">. </w:t>
      </w:r>
      <w:r w:rsidR="009B0DE2" w:rsidRPr="003101B1">
        <w:rPr>
          <w:lang w:val="en-GB" w:eastAsia="ro-MD"/>
        </w:rPr>
        <w:t>Banks calculate holdings on the basis of gross long positions, with the following exceptions</w:t>
      </w:r>
      <w:r w:rsidRPr="003101B1">
        <w:rPr>
          <w:lang w:val="en-GB" w:eastAsia="ro-MD"/>
        </w:rPr>
        <w:t>:</w:t>
      </w:r>
    </w:p>
    <w:p w14:paraId="5B14DAFB" w14:textId="1CD819C1" w:rsidR="00F93D86" w:rsidRPr="003101B1" w:rsidRDefault="00F93D86" w:rsidP="001D1370">
      <w:pPr>
        <w:jc w:val="both"/>
        <w:rPr>
          <w:lang w:val="en-GB" w:eastAsia="ro-MD"/>
        </w:rPr>
      </w:pPr>
      <w:r w:rsidRPr="003101B1">
        <w:rPr>
          <w:lang w:val="en-GB" w:eastAsia="ro-MD"/>
        </w:rPr>
        <w:t xml:space="preserve">1) </w:t>
      </w:r>
      <w:r w:rsidR="00047955" w:rsidRPr="003101B1">
        <w:rPr>
          <w:lang w:val="en-GB" w:eastAsia="ro-MD"/>
        </w:rPr>
        <w:t>banks may calculate the amount of holdings on the basis of the net long position, provided that both of the following conditions are met</w:t>
      </w:r>
      <w:r w:rsidRPr="003101B1">
        <w:rPr>
          <w:lang w:val="en-GB" w:eastAsia="ro-MD"/>
        </w:rPr>
        <w:t>:</w:t>
      </w:r>
    </w:p>
    <w:p w14:paraId="4A21C4BF" w14:textId="15344CA2" w:rsidR="00F93D86" w:rsidRPr="003101B1" w:rsidRDefault="00F93D86" w:rsidP="001D1370">
      <w:pPr>
        <w:jc w:val="both"/>
        <w:rPr>
          <w:lang w:val="en-GB" w:eastAsia="ro-MD"/>
        </w:rPr>
      </w:pPr>
      <w:r w:rsidRPr="003101B1">
        <w:rPr>
          <w:lang w:val="en-GB" w:eastAsia="ro-MD"/>
        </w:rPr>
        <w:t xml:space="preserve">a) </w:t>
      </w:r>
      <w:r w:rsidR="00047955" w:rsidRPr="003101B1">
        <w:rPr>
          <w:lang w:val="en-GB" w:eastAsia="ro-MD"/>
        </w:rPr>
        <w:t>long and short positions are part of the same underlying exposure and the short positions do not involve any counterparty risk</w:t>
      </w:r>
      <w:r w:rsidRPr="003101B1">
        <w:rPr>
          <w:lang w:val="en-GB" w:eastAsia="ro-MD"/>
        </w:rPr>
        <w:t>;</w:t>
      </w:r>
    </w:p>
    <w:p w14:paraId="0C85AD01" w14:textId="73271A1E" w:rsidR="00F93D86" w:rsidRPr="003101B1" w:rsidRDefault="00F93D86" w:rsidP="001D1370">
      <w:pPr>
        <w:jc w:val="both"/>
        <w:rPr>
          <w:lang w:val="en-GB" w:eastAsia="ro-MD"/>
        </w:rPr>
      </w:pPr>
      <w:r w:rsidRPr="003101B1">
        <w:rPr>
          <w:lang w:val="en-GB" w:eastAsia="ro-MD"/>
        </w:rPr>
        <w:t xml:space="preserve">b) </w:t>
      </w:r>
      <w:r w:rsidR="00047955" w:rsidRPr="003101B1">
        <w:rPr>
          <w:lang w:val="en-GB" w:eastAsia="ro-MD"/>
        </w:rPr>
        <w:t>either both the long and the short positions are held in the trading book or both are held in the non-trading book</w:t>
      </w:r>
      <w:r w:rsidRPr="003101B1">
        <w:rPr>
          <w:lang w:val="en-GB" w:eastAsia="ro-MD"/>
        </w:rPr>
        <w:t>;</w:t>
      </w:r>
    </w:p>
    <w:p w14:paraId="7F4ABC20" w14:textId="3B045E49" w:rsidR="00F93D86" w:rsidRPr="003101B1" w:rsidRDefault="00F93D86" w:rsidP="001D1370">
      <w:pPr>
        <w:jc w:val="both"/>
        <w:rPr>
          <w:lang w:val="en-GB" w:eastAsia="ro-MD"/>
        </w:rPr>
      </w:pPr>
      <w:r w:rsidRPr="003101B1">
        <w:rPr>
          <w:lang w:val="en-GB" w:eastAsia="ro-MD"/>
        </w:rPr>
        <w:t xml:space="preserve">2) </w:t>
      </w:r>
      <w:r w:rsidR="00DB32DF" w:rsidRPr="003101B1">
        <w:rPr>
          <w:lang w:val="en-GB" w:eastAsia="ro-MD"/>
        </w:rPr>
        <w:t>banks shall determine the amount to be deducted for direct, indirect and synthetic holdings of index securities by calculating the underlying exposure to own eligible liabilities instruments in those indices</w:t>
      </w:r>
      <w:r w:rsidRPr="003101B1">
        <w:rPr>
          <w:lang w:val="en-GB" w:eastAsia="ro-MD"/>
        </w:rPr>
        <w:t>;</w:t>
      </w:r>
    </w:p>
    <w:p w14:paraId="712023BD" w14:textId="38B7CA82" w:rsidR="00F93D86" w:rsidRPr="003101B1" w:rsidRDefault="00F93D86" w:rsidP="001D1370">
      <w:pPr>
        <w:jc w:val="both"/>
        <w:rPr>
          <w:lang w:val="en-GB" w:eastAsia="ro-MD"/>
        </w:rPr>
      </w:pPr>
      <w:r w:rsidRPr="003101B1">
        <w:rPr>
          <w:lang w:val="en-GB" w:eastAsia="ro-MD"/>
        </w:rPr>
        <w:t xml:space="preserve">3) </w:t>
      </w:r>
      <w:r w:rsidR="00DB32DF" w:rsidRPr="003101B1">
        <w:rPr>
          <w:lang w:val="en-GB" w:eastAsia="ro-MD"/>
        </w:rPr>
        <w:t>banks may net gross long positions in own eligible liabilities instruments resulting from holdings of index securities against short positions in own eligible liabilities instruments resulting from short positions in underlying indices, including where those short positions involve counterparty risk, provided that both the following conditions are met</w:t>
      </w:r>
      <w:r w:rsidRPr="003101B1">
        <w:rPr>
          <w:lang w:val="en-GB" w:eastAsia="ro-MD"/>
        </w:rPr>
        <w:t>:</w:t>
      </w:r>
    </w:p>
    <w:p w14:paraId="7907FD45" w14:textId="221A10C6" w:rsidR="00F93D86" w:rsidRPr="003101B1" w:rsidRDefault="00F93D86" w:rsidP="001D1370">
      <w:pPr>
        <w:jc w:val="both"/>
        <w:rPr>
          <w:lang w:val="en-GB" w:eastAsia="ro-MD"/>
        </w:rPr>
      </w:pPr>
      <w:r w:rsidRPr="003101B1">
        <w:rPr>
          <w:lang w:val="en-GB" w:eastAsia="ro-MD"/>
        </w:rPr>
        <w:t xml:space="preserve">a) </w:t>
      </w:r>
      <w:r w:rsidR="00DB32DF" w:rsidRPr="003101B1">
        <w:rPr>
          <w:lang w:val="en-GB" w:eastAsia="ro-MD"/>
        </w:rPr>
        <w:t>the long and short positions are in the same underlying indices</w:t>
      </w:r>
      <w:r w:rsidRPr="003101B1">
        <w:rPr>
          <w:lang w:val="en-GB" w:eastAsia="ro-MD"/>
        </w:rPr>
        <w:t>;</w:t>
      </w:r>
    </w:p>
    <w:p w14:paraId="428C4AC2" w14:textId="6FFDF730" w:rsidR="00F93D86" w:rsidRPr="003101B1" w:rsidRDefault="00F93D86" w:rsidP="001D1370">
      <w:pPr>
        <w:jc w:val="both"/>
        <w:rPr>
          <w:lang w:val="en-GB" w:eastAsia="ro-MD"/>
        </w:rPr>
      </w:pPr>
      <w:r w:rsidRPr="003101B1">
        <w:rPr>
          <w:lang w:val="en-GB" w:eastAsia="ro-MD"/>
        </w:rPr>
        <w:t xml:space="preserve">b) </w:t>
      </w:r>
      <w:r w:rsidR="00DB32DF" w:rsidRPr="003101B1">
        <w:rPr>
          <w:lang w:val="en-GB" w:eastAsia="ro-MD"/>
        </w:rPr>
        <w:t>either both the long and the short positions are held in the trading book or both are held in the non-trading book</w:t>
      </w:r>
      <w:r w:rsidRPr="003101B1">
        <w:rPr>
          <w:lang w:val="en-GB" w:eastAsia="ro-MD"/>
        </w:rPr>
        <w:t>.</w:t>
      </w:r>
    </w:p>
    <w:p w14:paraId="3C65BC9D" w14:textId="34968B2E" w:rsidR="00F93D86" w:rsidRPr="003101B1" w:rsidRDefault="00F93D86" w:rsidP="00F93D86">
      <w:pPr>
        <w:jc w:val="center"/>
        <w:rPr>
          <w:b/>
          <w:bCs/>
          <w:i/>
          <w:iCs/>
          <w:lang w:val="en-GB" w:eastAsia="ro-MD"/>
        </w:rPr>
      </w:pPr>
      <w:r w:rsidRPr="003101B1">
        <w:rPr>
          <w:b/>
          <w:bCs/>
          <w:i/>
          <w:iCs/>
          <w:lang w:val="en-GB" w:eastAsia="ro-MD"/>
        </w:rPr>
        <w:t>Subsec</w:t>
      </w:r>
      <w:r w:rsidR="009B0DE2" w:rsidRPr="003101B1">
        <w:rPr>
          <w:b/>
          <w:bCs/>
          <w:i/>
          <w:iCs/>
          <w:lang w:val="en-GB" w:eastAsia="ro-MD"/>
        </w:rPr>
        <w:t>tion</w:t>
      </w:r>
      <w:r w:rsidRPr="003101B1">
        <w:rPr>
          <w:b/>
          <w:bCs/>
          <w:i/>
          <w:iCs/>
          <w:lang w:val="en-GB" w:eastAsia="ro-MD"/>
        </w:rPr>
        <w:t xml:space="preserve"> 6</w:t>
      </w:r>
    </w:p>
    <w:p w14:paraId="2601AB3A" w14:textId="16E7A3BA" w:rsidR="00F93D86" w:rsidRPr="003101B1" w:rsidRDefault="00DB32DF" w:rsidP="00F93D86">
      <w:pPr>
        <w:jc w:val="center"/>
        <w:rPr>
          <w:lang w:val="en-GB" w:eastAsia="ro-MD"/>
        </w:rPr>
      </w:pPr>
      <w:r w:rsidRPr="003101B1">
        <w:rPr>
          <w:b/>
          <w:bCs/>
          <w:i/>
          <w:iCs/>
          <w:lang w:val="en-GB" w:eastAsia="ro-MD"/>
        </w:rPr>
        <w:t>Trading book exception from deductions from eligible liabilities items</w:t>
      </w:r>
    </w:p>
    <w:p w14:paraId="4AD98F27" w14:textId="2A68DC54"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23</w:t>
      </w:r>
      <w:r w:rsidRPr="003101B1">
        <w:rPr>
          <w:b/>
          <w:bCs/>
          <w:lang w:val="en-GB" w:eastAsia="ro-MD"/>
        </w:rPr>
        <w:t>.</w:t>
      </w:r>
      <w:r w:rsidRPr="003101B1">
        <w:rPr>
          <w:lang w:val="en-GB" w:eastAsia="ro-MD"/>
        </w:rPr>
        <w:t xml:space="preserve"> </w:t>
      </w:r>
      <w:r w:rsidR="00DB32DF" w:rsidRPr="003101B1">
        <w:rPr>
          <w:lang w:val="en-GB" w:eastAsia="ro-MD"/>
        </w:rPr>
        <w:t>Banks may decide not to deduct a designated part of their direct, indirect and synthetic holdings of eligible liabilities instruments, that in aggregate and measured on a gross long basis is equal to or less than 5 % of the Common Equity Tier 1 items of the institution after applying paragraphs</w:t>
      </w:r>
      <w:r w:rsidRPr="003101B1">
        <w:rPr>
          <w:lang w:val="en-GB" w:eastAsia="ro-MD"/>
        </w:rPr>
        <w:t xml:space="preserve"> 25</w:t>
      </w:r>
      <w:r w:rsidRPr="003101B1">
        <w:rPr>
          <w:vertAlign w:val="superscript"/>
          <w:lang w:val="en-GB" w:eastAsia="ro-MD"/>
        </w:rPr>
        <w:t>1</w:t>
      </w:r>
      <w:r w:rsidRPr="003101B1">
        <w:rPr>
          <w:lang w:val="en-GB" w:eastAsia="ro-MD"/>
        </w:rPr>
        <w:t xml:space="preserve">-32, </w:t>
      </w:r>
      <w:r w:rsidR="00DB32DF" w:rsidRPr="003101B1">
        <w:rPr>
          <w:lang w:val="en-GB" w:eastAsia="ro-MD"/>
        </w:rPr>
        <w:t>provided that all the following conditions are met</w:t>
      </w:r>
      <w:r w:rsidRPr="003101B1">
        <w:rPr>
          <w:lang w:val="en-GB" w:eastAsia="ro-MD"/>
        </w:rPr>
        <w:t>:</w:t>
      </w:r>
    </w:p>
    <w:p w14:paraId="1755B784" w14:textId="7A51D6AC" w:rsidR="00F93D86" w:rsidRPr="003101B1" w:rsidRDefault="00F93D86" w:rsidP="001D1370">
      <w:pPr>
        <w:jc w:val="both"/>
        <w:rPr>
          <w:lang w:val="en-GB" w:eastAsia="ro-MD"/>
        </w:rPr>
      </w:pPr>
      <w:r w:rsidRPr="003101B1">
        <w:rPr>
          <w:lang w:val="en-GB" w:eastAsia="ro-MD"/>
        </w:rPr>
        <w:t xml:space="preserve">1) </w:t>
      </w:r>
      <w:r w:rsidR="00DB32DF" w:rsidRPr="003101B1">
        <w:rPr>
          <w:lang w:val="en-GB" w:eastAsia="ro-MD"/>
        </w:rPr>
        <w:t>the holdings are in the trading book</w:t>
      </w:r>
      <w:r w:rsidRPr="003101B1">
        <w:rPr>
          <w:lang w:val="en-GB" w:eastAsia="ro-MD"/>
        </w:rPr>
        <w:t>;</w:t>
      </w:r>
    </w:p>
    <w:p w14:paraId="4E6E0F74" w14:textId="1BCA2A2B" w:rsidR="00F93D86" w:rsidRPr="003101B1" w:rsidRDefault="00F93D86" w:rsidP="001D1370">
      <w:pPr>
        <w:jc w:val="both"/>
        <w:rPr>
          <w:lang w:val="en-GB" w:eastAsia="ro-MD"/>
        </w:rPr>
      </w:pPr>
      <w:r w:rsidRPr="003101B1">
        <w:rPr>
          <w:lang w:val="en-GB" w:eastAsia="ro-MD"/>
        </w:rPr>
        <w:t xml:space="preserve">2) </w:t>
      </w:r>
      <w:r w:rsidR="00DB32DF" w:rsidRPr="003101B1">
        <w:rPr>
          <w:lang w:val="en-GB" w:eastAsia="ro-MD"/>
        </w:rPr>
        <w:t>the eligible liabilities instruments are held for no longer than 30 business days</w:t>
      </w:r>
      <w:r w:rsidRPr="003101B1">
        <w:rPr>
          <w:lang w:val="en-GB" w:eastAsia="ro-MD"/>
        </w:rPr>
        <w:t>.</w:t>
      </w:r>
    </w:p>
    <w:p w14:paraId="6F53C06F" w14:textId="666B387C" w:rsidR="00F93D86" w:rsidRPr="003101B1" w:rsidRDefault="00F93D86" w:rsidP="001D1370">
      <w:pPr>
        <w:jc w:val="both"/>
        <w:rPr>
          <w:lang w:val="en-GB" w:eastAsia="ro-MD"/>
        </w:rPr>
      </w:pPr>
      <w:r w:rsidRPr="003101B1">
        <w:rPr>
          <w:b/>
          <w:bCs/>
          <w:lang w:val="en-GB" w:eastAsia="ro-MD"/>
        </w:rPr>
        <w:t>109</w:t>
      </w:r>
      <w:r w:rsidRPr="003101B1">
        <w:rPr>
          <w:b/>
          <w:bCs/>
          <w:vertAlign w:val="superscript"/>
          <w:lang w:val="en-GB" w:eastAsia="ro-MD"/>
        </w:rPr>
        <w:t>24</w:t>
      </w:r>
      <w:r w:rsidRPr="003101B1">
        <w:rPr>
          <w:b/>
          <w:bCs/>
          <w:lang w:val="en-GB" w:eastAsia="ro-MD"/>
        </w:rPr>
        <w:t>.</w:t>
      </w:r>
      <w:r w:rsidRPr="003101B1">
        <w:rPr>
          <w:lang w:val="en-GB" w:eastAsia="ro-MD"/>
        </w:rPr>
        <w:t xml:space="preserve"> </w:t>
      </w:r>
      <w:r w:rsidR="00DB32DF" w:rsidRPr="003101B1">
        <w:rPr>
          <w:lang w:val="en-GB" w:eastAsia="ro-MD"/>
        </w:rPr>
        <w:t xml:space="preserve">The amounts of the items that are not deducted pursuant to paragraph </w:t>
      </w:r>
      <w:r w:rsidRPr="003101B1">
        <w:rPr>
          <w:lang w:val="en-GB" w:eastAsia="ro-MD"/>
        </w:rPr>
        <w:t>109</w:t>
      </w:r>
      <w:r w:rsidRPr="003101B1">
        <w:rPr>
          <w:vertAlign w:val="superscript"/>
          <w:lang w:val="en-GB" w:eastAsia="ro-MD"/>
        </w:rPr>
        <w:t>23</w:t>
      </w:r>
      <w:r w:rsidRPr="003101B1">
        <w:rPr>
          <w:lang w:val="en-GB" w:eastAsia="ro-MD"/>
        </w:rPr>
        <w:t xml:space="preserve"> </w:t>
      </w:r>
      <w:r w:rsidR="00DB32DF" w:rsidRPr="003101B1">
        <w:rPr>
          <w:lang w:val="en-GB" w:eastAsia="ro-MD"/>
        </w:rPr>
        <w:t>shall be subject to own funds requirements for items in the trading book</w:t>
      </w:r>
      <w:r w:rsidRPr="003101B1">
        <w:rPr>
          <w:lang w:val="en-GB" w:eastAsia="ro-MD"/>
        </w:rPr>
        <w:t>.”.</w:t>
      </w:r>
    </w:p>
    <w:p w14:paraId="2552DB94" w14:textId="3FBC941D" w:rsidR="00407B25" w:rsidRPr="003101B1" w:rsidRDefault="00DB32DF" w:rsidP="00FF2FD6">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Chapter </w:t>
      </w:r>
      <w:r w:rsidR="000C77ED" w:rsidRPr="003101B1">
        <w:rPr>
          <w:lang w:val="en-GB" w:eastAsia="ro-MD"/>
        </w:rPr>
        <w:t xml:space="preserve">VI </w:t>
      </w:r>
      <w:r w:rsidRPr="003101B1">
        <w:rPr>
          <w:lang w:val="en-GB" w:eastAsia="ro-MD"/>
        </w:rPr>
        <w:t>then name of Section</w:t>
      </w:r>
      <w:r w:rsidR="000C77ED" w:rsidRPr="003101B1">
        <w:rPr>
          <w:lang w:val="en-GB" w:eastAsia="ro-MD"/>
        </w:rPr>
        <w:t xml:space="preserve"> </w:t>
      </w:r>
      <w:r w:rsidR="00F46B38" w:rsidRPr="003101B1">
        <w:rPr>
          <w:lang w:val="en-GB" w:eastAsia="ro-MD"/>
        </w:rPr>
        <w:t>1</w:t>
      </w:r>
      <w:r w:rsidR="000C77ED" w:rsidRPr="003101B1">
        <w:rPr>
          <w:lang w:val="en-GB" w:eastAsia="ro-MD"/>
        </w:rPr>
        <w:t xml:space="preserve"> </w:t>
      </w:r>
      <w:r w:rsidRPr="003101B1">
        <w:rPr>
          <w:lang w:val="en-GB" w:eastAsia="ro-MD"/>
        </w:rPr>
        <w:t>shall read as follows</w:t>
      </w:r>
      <w:r w:rsidR="000C77ED" w:rsidRPr="003101B1">
        <w:rPr>
          <w:lang w:val="en-GB" w:eastAsia="ro-MD"/>
        </w:rPr>
        <w:t>:</w:t>
      </w:r>
    </w:p>
    <w:p w14:paraId="492595D7" w14:textId="02CD74CE" w:rsidR="000C77ED" w:rsidRPr="003101B1" w:rsidRDefault="00DB32DF" w:rsidP="0056740D">
      <w:pPr>
        <w:jc w:val="center"/>
        <w:rPr>
          <w:lang w:val="en-GB" w:eastAsia="ro-MD"/>
        </w:rPr>
      </w:pPr>
      <w:r w:rsidRPr="003101B1">
        <w:rPr>
          <w:lang w:val="en-GB" w:eastAsia="ro-MD"/>
        </w:rPr>
        <w:t>“</w:t>
      </w:r>
      <w:r w:rsidR="00407B25" w:rsidRPr="003101B1">
        <w:rPr>
          <w:b/>
          <w:bCs/>
          <w:i/>
          <w:iCs/>
          <w:lang w:val="en-GB" w:eastAsia="ro-MD"/>
        </w:rPr>
        <w:t>Sec</w:t>
      </w:r>
      <w:r w:rsidRPr="003101B1">
        <w:rPr>
          <w:b/>
          <w:bCs/>
          <w:i/>
          <w:iCs/>
          <w:lang w:val="en-GB" w:eastAsia="ro-MD"/>
        </w:rPr>
        <w:t>tion</w:t>
      </w:r>
      <w:r w:rsidR="00407B25" w:rsidRPr="003101B1">
        <w:rPr>
          <w:b/>
          <w:bCs/>
          <w:i/>
          <w:iCs/>
          <w:lang w:val="en-GB" w:eastAsia="ro-MD"/>
        </w:rPr>
        <w:t xml:space="preserve"> 1</w:t>
      </w:r>
      <w:r w:rsidR="00407B25" w:rsidRPr="003101B1">
        <w:rPr>
          <w:lang w:val="en-GB" w:eastAsia="ro-MD"/>
        </w:rPr>
        <w:t xml:space="preserve"> </w:t>
      </w:r>
      <w:r w:rsidRPr="003101B1">
        <w:rPr>
          <w:b/>
          <w:bCs/>
          <w:i/>
          <w:iCs/>
          <w:lang w:val="en-GB" w:eastAsia="ro-MD"/>
        </w:rPr>
        <w:t>Distributions on instruments</w:t>
      </w:r>
      <w:r w:rsidR="000C77ED" w:rsidRPr="003101B1">
        <w:rPr>
          <w:i/>
          <w:iCs/>
          <w:lang w:val="en-GB" w:eastAsia="ro-MD"/>
        </w:rPr>
        <w:t>”</w:t>
      </w:r>
      <w:r w:rsidR="00407B25" w:rsidRPr="003101B1">
        <w:rPr>
          <w:i/>
          <w:iCs/>
          <w:lang w:val="en-GB" w:eastAsia="ro-MD"/>
        </w:rPr>
        <w:t>.</w:t>
      </w:r>
    </w:p>
    <w:p w14:paraId="235D3C9A" w14:textId="41889E17" w:rsidR="00740EAE" w:rsidRPr="003101B1" w:rsidRDefault="00DB32DF" w:rsidP="00FF2FD6">
      <w:pPr>
        <w:pStyle w:val="ListParagraph"/>
        <w:numPr>
          <w:ilvl w:val="1"/>
          <w:numId w:val="27"/>
        </w:numPr>
        <w:spacing w:before="80"/>
        <w:ind w:left="0" w:firstLine="567"/>
        <w:jc w:val="both"/>
        <w:rPr>
          <w:lang w:val="en-GB" w:eastAsia="ro-MD"/>
        </w:rPr>
      </w:pPr>
      <w:bookmarkStart w:id="19" w:name="_Hlk206764791"/>
      <w:r w:rsidRPr="003101B1">
        <w:rPr>
          <w:lang w:val="en-GB" w:eastAsia="ro-MD"/>
        </w:rPr>
        <w:t>Paragraph</w:t>
      </w:r>
      <w:r w:rsidR="000C77ED" w:rsidRPr="003101B1">
        <w:rPr>
          <w:lang w:val="en-GB" w:eastAsia="ro-MD"/>
        </w:rPr>
        <w:t xml:space="preserve"> 110 </w:t>
      </w:r>
      <w:r w:rsidRPr="003101B1">
        <w:rPr>
          <w:lang w:val="en-GB" w:eastAsia="ro-MD"/>
        </w:rPr>
        <w:t>shall read as follows</w:t>
      </w:r>
      <w:r w:rsidR="00740EAE" w:rsidRPr="003101B1">
        <w:rPr>
          <w:lang w:val="en-GB" w:eastAsia="ro-MD"/>
        </w:rPr>
        <w:t>:</w:t>
      </w:r>
    </w:p>
    <w:bookmarkEnd w:id="19"/>
    <w:p w14:paraId="0F443B67" w14:textId="22858E8C" w:rsidR="000C77ED" w:rsidRPr="003101B1" w:rsidRDefault="00DB32DF" w:rsidP="00740EAE">
      <w:pPr>
        <w:jc w:val="both"/>
        <w:rPr>
          <w:lang w:val="en-GB" w:eastAsia="ro-MD"/>
        </w:rPr>
      </w:pPr>
      <w:r w:rsidRPr="003101B1">
        <w:rPr>
          <w:lang w:val="en-GB" w:eastAsia="ro-MD"/>
        </w:rPr>
        <w:t>“</w:t>
      </w:r>
      <w:r w:rsidR="00740EAE" w:rsidRPr="003101B1">
        <w:rPr>
          <w:b/>
          <w:bCs/>
          <w:lang w:val="en-GB" w:eastAsia="ro-MD"/>
        </w:rPr>
        <w:t>110.</w:t>
      </w:r>
      <w:r w:rsidR="00740EAE" w:rsidRPr="003101B1">
        <w:rPr>
          <w:lang w:val="en-GB" w:eastAsia="ro-MD"/>
        </w:rPr>
        <w:t xml:space="preserve"> </w:t>
      </w:r>
      <w:r w:rsidRPr="003101B1">
        <w:rPr>
          <w:lang w:val="en-GB" w:eastAsia="ro-MD"/>
        </w:rPr>
        <w:t>Capital instruments and liabilities for which a bank has the discretion to decide to pay distributions in a form other than cash or own funds instruments shall not qualify as Common Equity Tier 1, Additional Tier 1, Tier 2 or eligible liabilities instruments unless the bank has obtained the prior approval of the National Bank of Moldova to do so</w:t>
      </w:r>
      <w:r w:rsidR="00740EAE" w:rsidRPr="003101B1">
        <w:rPr>
          <w:lang w:val="en-GB" w:eastAsia="ro-MD"/>
        </w:rPr>
        <w:t>.”.</w:t>
      </w:r>
    </w:p>
    <w:p w14:paraId="1BE9EDC7" w14:textId="0A73313F" w:rsidR="00740EAE" w:rsidRPr="003101B1" w:rsidRDefault="00DB32DF" w:rsidP="00FF2FD6">
      <w:pPr>
        <w:pStyle w:val="ListParagraph"/>
        <w:numPr>
          <w:ilvl w:val="1"/>
          <w:numId w:val="27"/>
        </w:numPr>
        <w:spacing w:before="80"/>
        <w:ind w:left="0" w:firstLine="567"/>
        <w:jc w:val="both"/>
        <w:rPr>
          <w:lang w:val="en-GB" w:eastAsia="ro-MD"/>
        </w:rPr>
      </w:pPr>
      <w:r w:rsidRPr="003101B1">
        <w:rPr>
          <w:lang w:val="en-GB" w:eastAsia="ro-MD"/>
        </w:rPr>
        <w:t>In paragraph</w:t>
      </w:r>
      <w:r w:rsidR="00740EAE" w:rsidRPr="003101B1">
        <w:rPr>
          <w:lang w:val="en-GB" w:eastAsia="ro-MD"/>
        </w:rPr>
        <w:t xml:space="preserve"> 111:</w:t>
      </w:r>
    </w:p>
    <w:p w14:paraId="10413DD6" w14:textId="64BD2CBC" w:rsidR="00740EAE" w:rsidRPr="003101B1" w:rsidRDefault="00DB32DF" w:rsidP="00FF10CA">
      <w:pPr>
        <w:pStyle w:val="ListParagraph"/>
        <w:numPr>
          <w:ilvl w:val="2"/>
          <w:numId w:val="27"/>
        </w:numPr>
        <w:ind w:left="0" w:firstLine="567"/>
        <w:jc w:val="both"/>
        <w:rPr>
          <w:lang w:val="en-GB" w:eastAsia="ro-MD"/>
        </w:rPr>
      </w:pPr>
      <w:r w:rsidRPr="003101B1">
        <w:rPr>
          <w:lang w:val="en-GB" w:eastAsia="ro-MD"/>
        </w:rPr>
        <w:t>in the introductory paragraph, the word “</w:t>
      </w:r>
      <w:r w:rsidR="00A529B8" w:rsidRPr="003101B1">
        <w:rPr>
          <w:lang w:val="en-GB" w:eastAsia="ro-MD"/>
        </w:rPr>
        <w:t>are met</w:t>
      </w:r>
      <w:r w:rsidR="00F46B38" w:rsidRPr="003101B1">
        <w:rPr>
          <w:lang w:val="en-GB" w:eastAsia="ro-MD"/>
        </w:rPr>
        <w:t>”</w:t>
      </w:r>
      <w:r w:rsidR="00740EAE" w:rsidRPr="003101B1">
        <w:rPr>
          <w:lang w:val="en-GB" w:eastAsia="ro-MD"/>
        </w:rPr>
        <w:t xml:space="preserve"> </w:t>
      </w:r>
      <w:r w:rsidR="00A529B8" w:rsidRPr="003101B1">
        <w:rPr>
          <w:lang w:val="en-GB" w:eastAsia="ro-MD"/>
        </w:rPr>
        <w:t>shall be supplemented with the word</w:t>
      </w:r>
      <w:r w:rsidR="00740EAE" w:rsidRPr="003101B1">
        <w:rPr>
          <w:lang w:val="en-GB" w:eastAsia="ro-MD"/>
        </w:rPr>
        <w:t xml:space="preserve"> </w:t>
      </w:r>
      <w:r w:rsidR="00A529B8" w:rsidRPr="003101B1">
        <w:rPr>
          <w:lang w:val="en-GB" w:eastAsia="ro-MD"/>
        </w:rPr>
        <w:t>“all</w:t>
      </w:r>
      <w:r w:rsidR="00740EAE" w:rsidRPr="003101B1">
        <w:rPr>
          <w:lang w:val="en-GB" w:eastAsia="ro-MD"/>
        </w:rPr>
        <w:t>”;</w:t>
      </w:r>
    </w:p>
    <w:p w14:paraId="733058D8" w14:textId="5E7DBEC2" w:rsidR="00740EAE" w:rsidRPr="003101B1" w:rsidRDefault="00A529B8" w:rsidP="00FF10CA">
      <w:pPr>
        <w:pStyle w:val="ListParagraph"/>
        <w:numPr>
          <w:ilvl w:val="2"/>
          <w:numId w:val="27"/>
        </w:numPr>
        <w:ind w:left="0" w:firstLine="567"/>
        <w:jc w:val="both"/>
        <w:rPr>
          <w:lang w:val="en-GB" w:eastAsia="ro-MD"/>
        </w:rPr>
      </w:pPr>
      <w:r w:rsidRPr="003101B1">
        <w:rPr>
          <w:lang w:val="en-GB" w:eastAsia="ro-MD"/>
        </w:rPr>
        <w:t>in sub-paragraph</w:t>
      </w:r>
      <w:r w:rsidR="00740EAE" w:rsidRPr="003101B1">
        <w:rPr>
          <w:lang w:val="en-GB" w:eastAsia="ro-MD"/>
        </w:rPr>
        <w:t xml:space="preserve"> 1)</w:t>
      </w:r>
      <w:r w:rsidR="0068406C" w:rsidRPr="003101B1">
        <w:rPr>
          <w:lang w:val="en-GB" w:eastAsia="ro-MD"/>
        </w:rPr>
        <w:t>,</w:t>
      </w:r>
      <w:r w:rsidR="00740EAE" w:rsidRPr="003101B1">
        <w:rPr>
          <w:lang w:val="en-GB" w:eastAsia="ro-MD"/>
        </w:rPr>
        <w:t xml:space="preserve"> </w:t>
      </w:r>
      <w:r w:rsidRPr="003101B1">
        <w:rPr>
          <w:lang w:val="en-GB" w:eastAsia="ro-MD"/>
        </w:rPr>
        <w:t>before the word</w:t>
      </w:r>
      <w:r w:rsidR="00740EAE" w:rsidRPr="003101B1">
        <w:rPr>
          <w:lang w:val="en-GB" w:eastAsia="ro-MD"/>
        </w:rPr>
        <w:t xml:space="preserve"> </w:t>
      </w:r>
      <w:r w:rsidRPr="003101B1">
        <w:rPr>
          <w:lang w:val="en-GB" w:eastAsia="ro-MD"/>
        </w:rPr>
        <w:t>“</w:t>
      </w:r>
      <w:r w:rsidR="00740EAE" w:rsidRPr="003101B1">
        <w:rPr>
          <w:lang w:val="en-GB" w:eastAsia="ro-MD"/>
        </w:rPr>
        <w:t>capacit</w:t>
      </w:r>
      <w:r w:rsidRPr="003101B1">
        <w:rPr>
          <w:lang w:val="en-GB" w:eastAsia="ro-MD"/>
        </w:rPr>
        <w:t>y</w:t>
      </w:r>
      <w:r w:rsidR="00740EAE" w:rsidRPr="003101B1">
        <w:rPr>
          <w:lang w:val="en-GB" w:eastAsia="ro-MD"/>
        </w:rPr>
        <w:t xml:space="preserve">” </w:t>
      </w:r>
      <w:r w:rsidRPr="003101B1">
        <w:rPr>
          <w:lang w:val="en-GB" w:eastAsia="ro-MD"/>
        </w:rPr>
        <w:t>the following</w:t>
      </w:r>
      <w:r w:rsidR="00740EAE" w:rsidRPr="003101B1">
        <w:rPr>
          <w:lang w:val="en-GB" w:eastAsia="ro-MD"/>
        </w:rPr>
        <w:t xml:space="preserve"> </w:t>
      </w:r>
      <w:r w:rsidRPr="003101B1">
        <w:rPr>
          <w:lang w:val="en-GB" w:eastAsia="ro-MD"/>
        </w:rPr>
        <w:t>“discretionary</w:t>
      </w:r>
      <w:r w:rsidR="00740EAE" w:rsidRPr="003101B1">
        <w:rPr>
          <w:lang w:val="en-GB" w:eastAsia="ro-MD"/>
        </w:rPr>
        <w:t>”</w:t>
      </w:r>
      <w:r w:rsidRPr="003101B1">
        <w:rPr>
          <w:lang w:val="en-GB" w:eastAsia="ro-MD"/>
        </w:rPr>
        <w:t xml:space="preserve"> shall be added</w:t>
      </w:r>
      <w:r w:rsidR="00740EAE" w:rsidRPr="003101B1">
        <w:rPr>
          <w:lang w:val="en-GB" w:eastAsia="ro-MD"/>
        </w:rPr>
        <w:t>.</w:t>
      </w:r>
    </w:p>
    <w:p w14:paraId="6DDC63F3" w14:textId="13944A37" w:rsidR="00740EAE" w:rsidRPr="003101B1" w:rsidRDefault="00A529B8" w:rsidP="00FF2FD6">
      <w:pPr>
        <w:pStyle w:val="ListParagraph"/>
        <w:numPr>
          <w:ilvl w:val="1"/>
          <w:numId w:val="27"/>
        </w:numPr>
        <w:spacing w:before="80"/>
        <w:ind w:left="0" w:firstLine="567"/>
        <w:rPr>
          <w:lang w:val="en-GB" w:eastAsia="ro-MD"/>
        </w:rPr>
      </w:pPr>
      <w:r w:rsidRPr="003101B1">
        <w:rPr>
          <w:lang w:val="en-GB" w:eastAsia="ro-MD"/>
        </w:rPr>
        <w:t>Paragraph</w:t>
      </w:r>
      <w:r w:rsidR="00740EAE" w:rsidRPr="003101B1">
        <w:rPr>
          <w:lang w:val="en-GB" w:eastAsia="ro-MD"/>
        </w:rPr>
        <w:t xml:space="preserve"> 112 </w:t>
      </w:r>
      <w:r w:rsidRPr="003101B1">
        <w:rPr>
          <w:lang w:val="en-GB" w:eastAsia="ro-MD"/>
        </w:rPr>
        <w:t>shall read as follows</w:t>
      </w:r>
      <w:r w:rsidR="00740EAE" w:rsidRPr="003101B1">
        <w:rPr>
          <w:lang w:val="en-GB" w:eastAsia="ro-MD"/>
        </w:rPr>
        <w:t>:</w:t>
      </w:r>
    </w:p>
    <w:p w14:paraId="73940124" w14:textId="4D860E19" w:rsidR="00740EAE" w:rsidRPr="003101B1" w:rsidRDefault="00A529B8" w:rsidP="000F7785">
      <w:pPr>
        <w:jc w:val="both"/>
        <w:rPr>
          <w:lang w:val="en-GB" w:eastAsia="ro-MD"/>
        </w:rPr>
      </w:pPr>
      <w:r w:rsidRPr="003101B1">
        <w:rPr>
          <w:lang w:val="en-GB" w:eastAsia="ro-MD"/>
        </w:rPr>
        <w:t>“</w:t>
      </w:r>
      <w:r w:rsidR="00740EAE" w:rsidRPr="003101B1">
        <w:rPr>
          <w:b/>
          <w:bCs/>
          <w:lang w:val="en-GB" w:eastAsia="ro-MD"/>
        </w:rPr>
        <w:t>112.</w:t>
      </w:r>
      <w:r w:rsidR="00740EAE" w:rsidRPr="003101B1">
        <w:rPr>
          <w:lang w:val="en-GB" w:eastAsia="ro-MD"/>
        </w:rPr>
        <w:t xml:space="preserve"> </w:t>
      </w:r>
      <w:r w:rsidRPr="003101B1">
        <w:rPr>
          <w:lang w:val="en-GB" w:eastAsia="ro-MD"/>
        </w:rPr>
        <w:t>Equity instruments and liabilities for which a legal entity other than the issuing bank has the discretion to decide or require that payments of distributions on those instruments or liabilities be made in a form other than cash or own funds instruments cannot be considered Common Equity Tier 1 instruments, Additional Tier 1 capital instruments, Tier 2 capital instruments, or eligible liabilities</w:t>
      </w:r>
      <w:r w:rsidR="00740EAE" w:rsidRPr="003101B1">
        <w:rPr>
          <w:lang w:val="en-GB" w:eastAsia="ro-MD"/>
        </w:rPr>
        <w:t>.”.</w:t>
      </w:r>
    </w:p>
    <w:p w14:paraId="42EEE20D" w14:textId="56548786" w:rsidR="00740EAE" w:rsidRPr="003101B1" w:rsidRDefault="00A529B8" w:rsidP="00FF2FD6">
      <w:pPr>
        <w:pStyle w:val="ListParagraph"/>
        <w:numPr>
          <w:ilvl w:val="1"/>
          <w:numId w:val="27"/>
        </w:numPr>
        <w:spacing w:before="80"/>
        <w:ind w:left="0" w:firstLine="567"/>
        <w:jc w:val="both"/>
        <w:rPr>
          <w:lang w:val="en-GB" w:eastAsia="ro-MD"/>
        </w:rPr>
      </w:pPr>
      <w:r w:rsidRPr="003101B1">
        <w:rPr>
          <w:lang w:val="en-GB" w:eastAsia="ro-MD"/>
        </w:rPr>
        <w:t>Paragraph</w:t>
      </w:r>
      <w:r w:rsidR="00740EAE" w:rsidRPr="003101B1">
        <w:rPr>
          <w:lang w:val="en-GB" w:eastAsia="ro-MD"/>
        </w:rPr>
        <w:t xml:space="preserve"> 112</w:t>
      </w:r>
      <w:r w:rsidR="00740EAE" w:rsidRPr="003101B1">
        <w:rPr>
          <w:vertAlign w:val="superscript"/>
          <w:lang w:val="en-GB" w:eastAsia="ro-MD"/>
        </w:rPr>
        <w:t>1</w:t>
      </w:r>
      <w:r w:rsidR="00740EAE" w:rsidRPr="003101B1">
        <w:rPr>
          <w:lang w:val="en-GB" w:eastAsia="ro-MD"/>
        </w:rPr>
        <w:t xml:space="preserve"> </w:t>
      </w:r>
      <w:r w:rsidRPr="003101B1">
        <w:rPr>
          <w:lang w:val="en-GB" w:eastAsia="ro-MD"/>
        </w:rPr>
        <w:t>shall be added with the following content</w:t>
      </w:r>
      <w:r w:rsidR="00740EAE" w:rsidRPr="003101B1">
        <w:rPr>
          <w:lang w:val="en-GB" w:eastAsia="ro-MD"/>
        </w:rPr>
        <w:t>:</w:t>
      </w:r>
    </w:p>
    <w:p w14:paraId="08452CE1" w14:textId="02DD8115" w:rsidR="00740EAE" w:rsidRPr="003101B1" w:rsidRDefault="00A529B8" w:rsidP="000F7785">
      <w:pPr>
        <w:jc w:val="both"/>
        <w:rPr>
          <w:lang w:val="en-GB" w:eastAsia="ro-MD"/>
        </w:rPr>
      </w:pPr>
      <w:r w:rsidRPr="003101B1">
        <w:rPr>
          <w:lang w:val="en-GB" w:eastAsia="ro-MD"/>
        </w:rPr>
        <w:t>“</w:t>
      </w:r>
      <w:r w:rsidR="00740EAE" w:rsidRPr="003101B1">
        <w:rPr>
          <w:b/>
          <w:bCs/>
          <w:lang w:val="en-GB" w:eastAsia="ro-MD"/>
        </w:rPr>
        <w:t>112</w:t>
      </w:r>
      <w:r w:rsidR="00740EAE" w:rsidRPr="003101B1">
        <w:rPr>
          <w:b/>
          <w:bCs/>
          <w:vertAlign w:val="superscript"/>
          <w:lang w:val="en-GB" w:eastAsia="ro-MD"/>
        </w:rPr>
        <w:t>1</w:t>
      </w:r>
      <w:r w:rsidR="00740EAE" w:rsidRPr="003101B1">
        <w:rPr>
          <w:b/>
          <w:bCs/>
          <w:lang w:val="en-GB" w:eastAsia="ro-MD"/>
        </w:rPr>
        <w:t>.</w:t>
      </w:r>
      <w:r w:rsidR="00740EAE" w:rsidRPr="003101B1">
        <w:rPr>
          <w:lang w:val="en-GB" w:eastAsia="ro-MD"/>
        </w:rPr>
        <w:t xml:space="preserve"> </w:t>
      </w:r>
      <w:r w:rsidRPr="003101B1">
        <w:rPr>
          <w:lang w:val="en-GB" w:eastAsia="ro-MD"/>
        </w:rPr>
        <w:t xml:space="preserve">The National Bank of Moldova shall ensure that the structure exercising the supervisory function consults the structure exercising the resolution function before granting the prior permission referred to in paragraph </w:t>
      </w:r>
      <w:r w:rsidR="00740EAE" w:rsidRPr="003101B1">
        <w:rPr>
          <w:lang w:val="en-GB" w:eastAsia="ro-MD"/>
        </w:rPr>
        <w:t>110.”.</w:t>
      </w:r>
    </w:p>
    <w:p w14:paraId="57AFA199" w14:textId="4F32261C" w:rsidR="00740EAE" w:rsidRPr="003101B1" w:rsidRDefault="00A529B8" w:rsidP="00FF2FD6">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071E51" w:rsidRPr="003101B1">
        <w:rPr>
          <w:lang w:val="en-GB" w:eastAsia="ro-MD"/>
        </w:rPr>
        <w:t xml:space="preserve"> 113 </w:t>
      </w:r>
      <w:r w:rsidRPr="003101B1">
        <w:rPr>
          <w:lang w:val="en-GB" w:eastAsia="ro-MD"/>
        </w:rPr>
        <w:t>shall be supplemented with the words</w:t>
      </w:r>
      <w:r w:rsidR="00071E51" w:rsidRPr="003101B1">
        <w:rPr>
          <w:lang w:val="en-GB" w:eastAsia="ro-MD"/>
        </w:rPr>
        <w:t xml:space="preserve"> </w:t>
      </w:r>
      <w:r w:rsidRPr="003101B1">
        <w:rPr>
          <w:lang w:val="en-GB" w:eastAsia="ro-MD"/>
        </w:rPr>
        <w:t>“</w:t>
      </w:r>
      <w:r w:rsidR="00607433" w:rsidRPr="003101B1">
        <w:rPr>
          <w:lang w:val="en-GB" w:eastAsia="ro-MD"/>
        </w:rPr>
        <w:t>and eligible liabilities instruments</w:t>
      </w:r>
      <w:r w:rsidR="00071E51" w:rsidRPr="003101B1">
        <w:rPr>
          <w:lang w:val="en-GB" w:eastAsia="ro-MD"/>
        </w:rPr>
        <w:t>”.</w:t>
      </w:r>
    </w:p>
    <w:p w14:paraId="4F1F17BC" w14:textId="1FA10240" w:rsidR="00071E51" w:rsidRPr="003101B1" w:rsidRDefault="00A529B8" w:rsidP="00FF2FD6">
      <w:pPr>
        <w:pStyle w:val="ListParagraph"/>
        <w:numPr>
          <w:ilvl w:val="1"/>
          <w:numId w:val="27"/>
        </w:numPr>
        <w:spacing w:before="80"/>
        <w:ind w:left="0" w:firstLine="567"/>
        <w:contextualSpacing w:val="0"/>
        <w:jc w:val="both"/>
        <w:rPr>
          <w:lang w:val="en-GB" w:eastAsia="ro-MD"/>
        </w:rPr>
      </w:pPr>
      <w:r w:rsidRPr="003101B1">
        <w:rPr>
          <w:lang w:val="en-GB" w:eastAsia="ro-MD"/>
        </w:rPr>
        <w:t xml:space="preserve">Paragraph </w:t>
      </w:r>
      <w:r w:rsidR="00071E51" w:rsidRPr="003101B1">
        <w:rPr>
          <w:lang w:val="en-GB" w:eastAsia="ro-MD"/>
        </w:rPr>
        <w:t xml:space="preserve">115 </w:t>
      </w:r>
      <w:r w:rsidRPr="003101B1">
        <w:rPr>
          <w:lang w:val="en-GB" w:eastAsia="ro-MD"/>
        </w:rPr>
        <w:t>shall be supplemented with the words “</w:t>
      </w:r>
      <w:r w:rsidR="00607433" w:rsidRPr="003101B1">
        <w:rPr>
          <w:lang w:val="en-GB" w:eastAsia="ro-MD"/>
        </w:rPr>
        <w:t>and eligible liabilities instruments</w:t>
      </w:r>
      <w:r w:rsidR="00071E51" w:rsidRPr="003101B1">
        <w:rPr>
          <w:lang w:val="en-GB" w:eastAsia="ro-MD"/>
        </w:rPr>
        <w:t>”.</w:t>
      </w:r>
    </w:p>
    <w:p w14:paraId="3751D931" w14:textId="49966EEC" w:rsidR="00071E51" w:rsidRPr="003101B1" w:rsidRDefault="00A529B8" w:rsidP="00FF2FD6">
      <w:pPr>
        <w:pStyle w:val="ListParagraph"/>
        <w:numPr>
          <w:ilvl w:val="1"/>
          <w:numId w:val="27"/>
        </w:numPr>
        <w:spacing w:before="80"/>
        <w:ind w:left="0" w:firstLine="567"/>
        <w:contextualSpacing w:val="0"/>
        <w:jc w:val="both"/>
        <w:rPr>
          <w:lang w:val="en-GB" w:eastAsia="ro-MD"/>
        </w:rPr>
      </w:pPr>
      <w:r w:rsidRPr="003101B1">
        <w:rPr>
          <w:lang w:val="en-GB" w:eastAsia="ro-MD"/>
        </w:rPr>
        <w:t>Chapter</w:t>
      </w:r>
      <w:r w:rsidR="00514C5A" w:rsidRPr="003101B1">
        <w:rPr>
          <w:lang w:val="en-GB" w:eastAsia="ro-MD"/>
        </w:rPr>
        <w:t xml:space="preserve"> VI </w:t>
      </w:r>
      <w:r w:rsidRPr="003101B1">
        <w:rPr>
          <w:lang w:val="en-GB" w:eastAsia="ro-MD"/>
        </w:rPr>
        <w:t xml:space="preserve">shall be supplemented with the Sections </w:t>
      </w:r>
      <w:r w:rsidR="00071E51" w:rsidRPr="003101B1">
        <w:rPr>
          <w:lang w:val="en-GB" w:eastAsia="ro-MD"/>
        </w:rPr>
        <w:t>2</w:t>
      </w:r>
      <w:r w:rsidR="00071E51" w:rsidRPr="003101B1">
        <w:rPr>
          <w:vertAlign w:val="superscript"/>
          <w:lang w:val="en-GB" w:eastAsia="ro-MD"/>
        </w:rPr>
        <w:t>1</w:t>
      </w:r>
      <w:r w:rsidR="00071E51" w:rsidRPr="003101B1">
        <w:rPr>
          <w:lang w:val="en-GB" w:eastAsia="ro-MD"/>
        </w:rPr>
        <w:t xml:space="preserve"> </w:t>
      </w:r>
      <w:r w:rsidRPr="003101B1">
        <w:rPr>
          <w:lang w:val="en-GB" w:eastAsia="ro-MD"/>
        </w:rPr>
        <w:t>and</w:t>
      </w:r>
      <w:r w:rsidR="00071E51" w:rsidRPr="003101B1">
        <w:rPr>
          <w:lang w:val="en-GB" w:eastAsia="ro-MD"/>
        </w:rPr>
        <w:t xml:space="preserve"> 2</w:t>
      </w:r>
      <w:r w:rsidR="00071E51" w:rsidRPr="003101B1">
        <w:rPr>
          <w:vertAlign w:val="superscript"/>
          <w:lang w:val="en-GB" w:eastAsia="ro-MD"/>
        </w:rPr>
        <w:t>2</w:t>
      </w:r>
      <w:r w:rsidR="00071E51" w:rsidRPr="003101B1">
        <w:rPr>
          <w:lang w:val="en-GB" w:eastAsia="ro-MD"/>
        </w:rPr>
        <w:t xml:space="preserve"> </w:t>
      </w:r>
      <w:r w:rsidRPr="003101B1">
        <w:rPr>
          <w:lang w:val="en-GB" w:eastAsia="ro-MD"/>
        </w:rPr>
        <w:t>with the following content</w:t>
      </w:r>
      <w:r w:rsidR="00071E51" w:rsidRPr="003101B1">
        <w:rPr>
          <w:lang w:val="en-GB" w:eastAsia="ro-MD"/>
        </w:rPr>
        <w:t>:</w:t>
      </w:r>
    </w:p>
    <w:p w14:paraId="4EC490A9" w14:textId="5256BBD7" w:rsidR="00071E51" w:rsidRPr="003101B1" w:rsidRDefault="00A529B8" w:rsidP="00071E51">
      <w:pPr>
        <w:jc w:val="center"/>
        <w:rPr>
          <w:lang w:val="en-GB" w:eastAsia="ro-MD"/>
        </w:rPr>
      </w:pPr>
      <w:r w:rsidRPr="003101B1">
        <w:rPr>
          <w:i/>
          <w:iCs/>
          <w:lang w:val="en-GB" w:eastAsia="ro-MD"/>
        </w:rPr>
        <w:t>“</w:t>
      </w:r>
      <w:r w:rsidR="00071E51" w:rsidRPr="003101B1">
        <w:rPr>
          <w:b/>
          <w:bCs/>
          <w:i/>
          <w:iCs/>
          <w:lang w:val="en-GB" w:eastAsia="ro-MD"/>
        </w:rPr>
        <w:t>Sec</w:t>
      </w:r>
      <w:r w:rsidR="00607433" w:rsidRPr="003101B1">
        <w:rPr>
          <w:b/>
          <w:bCs/>
          <w:i/>
          <w:iCs/>
          <w:lang w:val="en-GB" w:eastAsia="ro-MD"/>
        </w:rPr>
        <w:t>tion</w:t>
      </w:r>
      <w:r w:rsidR="00071E51" w:rsidRPr="003101B1">
        <w:rPr>
          <w:b/>
          <w:bCs/>
          <w:i/>
          <w:iCs/>
          <w:lang w:val="en-GB" w:eastAsia="ro-MD"/>
        </w:rPr>
        <w:t xml:space="preserve"> 2</w:t>
      </w:r>
      <w:r w:rsidR="00071E51" w:rsidRPr="003101B1">
        <w:rPr>
          <w:b/>
          <w:bCs/>
          <w:i/>
          <w:iCs/>
          <w:vertAlign w:val="superscript"/>
          <w:lang w:val="en-GB" w:eastAsia="ro-MD"/>
        </w:rPr>
        <w:t>1</w:t>
      </w:r>
    </w:p>
    <w:p w14:paraId="65EE72E4" w14:textId="19BE0C6D" w:rsidR="00071E51" w:rsidRPr="003101B1" w:rsidRDefault="006B48F8" w:rsidP="00071E51">
      <w:pPr>
        <w:ind w:firstLine="567"/>
        <w:jc w:val="center"/>
        <w:rPr>
          <w:b/>
          <w:bCs/>
          <w:i/>
          <w:iCs/>
          <w:lang w:val="en-GB" w:eastAsia="ro-MD"/>
        </w:rPr>
      </w:pPr>
      <w:r w:rsidRPr="003101B1">
        <w:rPr>
          <w:b/>
          <w:bCs/>
          <w:i/>
          <w:iCs/>
          <w:lang w:val="en-GB" w:eastAsia="ro-MD"/>
        </w:rPr>
        <w:t>Index holdings of capital instruments and of liabilities</w:t>
      </w:r>
    </w:p>
    <w:p w14:paraId="07BA8A52" w14:textId="43809FE2" w:rsidR="00071E51" w:rsidRPr="003101B1" w:rsidRDefault="00071E51" w:rsidP="00B81880">
      <w:pPr>
        <w:jc w:val="both"/>
        <w:rPr>
          <w:lang w:val="en-GB" w:eastAsia="ro-MD"/>
        </w:rPr>
      </w:pPr>
      <w:r w:rsidRPr="003101B1">
        <w:rPr>
          <w:b/>
          <w:bCs/>
          <w:lang w:val="en-GB" w:eastAsia="ro-MD"/>
        </w:rPr>
        <w:t>11</w:t>
      </w:r>
      <w:r w:rsidR="00B81880" w:rsidRPr="003101B1">
        <w:rPr>
          <w:b/>
          <w:bCs/>
          <w:lang w:val="en-GB" w:eastAsia="ro-MD"/>
        </w:rPr>
        <w:t>8</w:t>
      </w:r>
      <w:r w:rsidRPr="003101B1">
        <w:rPr>
          <w:b/>
          <w:bCs/>
          <w:vertAlign w:val="superscript"/>
          <w:lang w:val="en-GB" w:eastAsia="ro-MD"/>
        </w:rPr>
        <w:t>1</w:t>
      </w:r>
      <w:r w:rsidRPr="003101B1">
        <w:rPr>
          <w:b/>
          <w:bCs/>
          <w:lang w:val="en-GB" w:eastAsia="ro-MD"/>
        </w:rPr>
        <w:t>.</w:t>
      </w:r>
      <w:r w:rsidRPr="003101B1">
        <w:rPr>
          <w:lang w:val="en-GB" w:eastAsia="ro-MD"/>
        </w:rPr>
        <w:t xml:space="preserve"> </w:t>
      </w:r>
      <w:r w:rsidR="00607433" w:rsidRPr="003101B1">
        <w:rPr>
          <w:lang w:val="en-GB" w:eastAsia="ro-MD"/>
        </w:rPr>
        <w:t>For the purposes of paragraphs 51 sub-paragraph 1), 55 sub-paragraph 1), 88 sub-paragraph 1), 90 subparagraph 1), 102 sub-paragraph 1), 104 sub-paragraph 1), 10922 sub-paragraph 1), banks may reduce the amount of a long position in a capital instrument or liability by the portion of an index that is made up of the same underlying exposure that is being hedged, provided that all the following conditions are met</w:t>
      </w:r>
      <w:r w:rsidRPr="003101B1">
        <w:rPr>
          <w:lang w:val="en-GB" w:eastAsia="ro-MD"/>
        </w:rPr>
        <w:t>:</w:t>
      </w:r>
    </w:p>
    <w:p w14:paraId="1A591813" w14:textId="6079B7EB" w:rsidR="00071E51" w:rsidRPr="003101B1" w:rsidRDefault="00071E51" w:rsidP="00B81880">
      <w:pPr>
        <w:jc w:val="both"/>
        <w:rPr>
          <w:lang w:val="en-GB" w:eastAsia="ro-MD"/>
        </w:rPr>
      </w:pPr>
      <w:r w:rsidRPr="003101B1">
        <w:rPr>
          <w:lang w:val="en-GB" w:eastAsia="ro-MD"/>
        </w:rPr>
        <w:t xml:space="preserve">1) </w:t>
      </w:r>
      <w:r w:rsidR="002D35CE" w:rsidRPr="003101B1">
        <w:rPr>
          <w:lang w:val="en-GB" w:eastAsia="ro-MD"/>
        </w:rPr>
        <w:t>either both the long position being hedged and the short position in an index used to hedge that long position are held in the trading book or both are held in the non-trading book</w:t>
      </w:r>
      <w:r w:rsidRPr="003101B1">
        <w:rPr>
          <w:lang w:val="en-GB" w:eastAsia="ro-MD"/>
        </w:rPr>
        <w:t>;</w:t>
      </w:r>
    </w:p>
    <w:p w14:paraId="66FD51CA" w14:textId="7BFCD89F" w:rsidR="00071E51" w:rsidRPr="003101B1" w:rsidRDefault="00071E51" w:rsidP="00B81880">
      <w:pPr>
        <w:jc w:val="both"/>
        <w:rPr>
          <w:lang w:val="en-GB" w:eastAsia="ro-MD"/>
        </w:rPr>
      </w:pPr>
      <w:r w:rsidRPr="003101B1">
        <w:rPr>
          <w:lang w:val="en-GB" w:eastAsia="ro-MD"/>
        </w:rPr>
        <w:t xml:space="preserve">2) </w:t>
      </w:r>
      <w:r w:rsidR="002D35CE" w:rsidRPr="003101B1">
        <w:rPr>
          <w:lang w:val="en-GB" w:eastAsia="ro-MD"/>
        </w:rPr>
        <w:t>the positions referred to in sub-paragraph 1) are recorded at fair value on the balance sheet of the bank</w:t>
      </w:r>
      <w:r w:rsidRPr="003101B1">
        <w:rPr>
          <w:lang w:val="en-GB" w:eastAsia="ro-MD"/>
        </w:rPr>
        <w:t>;</w:t>
      </w:r>
    </w:p>
    <w:p w14:paraId="1F3797C3" w14:textId="6CCBF84C" w:rsidR="00071E51" w:rsidRPr="003101B1" w:rsidRDefault="00071E51" w:rsidP="00B81880">
      <w:pPr>
        <w:jc w:val="both"/>
        <w:rPr>
          <w:lang w:val="en-GB" w:eastAsia="ro-MD"/>
        </w:rPr>
      </w:pPr>
      <w:r w:rsidRPr="003101B1">
        <w:rPr>
          <w:lang w:val="en-GB" w:eastAsia="ro-MD"/>
        </w:rPr>
        <w:t xml:space="preserve">3) </w:t>
      </w:r>
      <w:r w:rsidR="002D35CE" w:rsidRPr="003101B1">
        <w:rPr>
          <w:lang w:val="en-GB" w:eastAsia="ro-MD"/>
        </w:rPr>
        <w:t>the short position referred to in sub-paragraph 1) may be considered as an effective hedge in accordance with the bank’s internal control procedures</w:t>
      </w:r>
      <w:r w:rsidRPr="003101B1">
        <w:rPr>
          <w:lang w:val="en-GB" w:eastAsia="ro-MD"/>
        </w:rPr>
        <w:t>;</w:t>
      </w:r>
    </w:p>
    <w:p w14:paraId="32C5E477" w14:textId="48666F7C" w:rsidR="00071E51" w:rsidRPr="003101B1" w:rsidRDefault="00071E51" w:rsidP="00B81880">
      <w:pPr>
        <w:jc w:val="both"/>
        <w:rPr>
          <w:lang w:val="en-GB" w:eastAsia="ro-MD"/>
        </w:rPr>
      </w:pPr>
      <w:r w:rsidRPr="003101B1">
        <w:rPr>
          <w:lang w:val="en-GB" w:eastAsia="ro-MD"/>
        </w:rPr>
        <w:t xml:space="preserve">4) </w:t>
      </w:r>
      <w:r w:rsidR="002D35CE" w:rsidRPr="003101B1">
        <w:rPr>
          <w:lang w:val="en-GB" w:eastAsia="ro-MD"/>
        </w:rPr>
        <w:t>The National Bank of Moldova has assessed the adequacy of the internal control procedures referred to in sub-paragraph 3) at least once a year and is satisfied on each occasion with their adequacy</w:t>
      </w:r>
      <w:r w:rsidRPr="003101B1">
        <w:rPr>
          <w:lang w:val="en-GB" w:eastAsia="ro-MD"/>
        </w:rPr>
        <w:t>.</w:t>
      </w:r>
    </w:p>
    <w:p w14:paraId="6CDA6DCA" w14:textId="6DB6AF4A" w:rsidR="00071E51" w:rsidRPr="003101B1" w:rsidRDefault="00071E51" w:rsidP="00B81880">
      <w:pPr>
        <w:jc w:val="both"/>
        <w:rPr>
          <w:lang w:val="en-GB" w:eastAsia="ro-MD"/>
        </w:rPr>
      </w:pPr>
      <w:r w:rsidRPr="003101B1">
        <w:rPr>
          <w:b/>
          <w:bCs/>
          <w:lang w:val="en-GB" w:eastAsia="ro-MD"/>
        </w:rPr>
        <w:t>11</w:t>
      </w:r>
      <w:r w:rsidR="00B81880" w:rsidRPr="003101B1">
        <w:rPr>
          <w:b/>
          <w:bCs/>
          <w:lang w:val="en-GB" w:eastAsia="ro-MD"/>
        </w:rPr>
        <w:t>8</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2D35CE" w:rsidRPr="003101B1">
        <w:rPr>
          <w:lang w:val="en-GB" w:eastAsia="ro-MD"/>
        </w:rPr>
        <w:t>With the prior approval of the National Bank of Moldova, the bank may use a conservative estimate of the bank’s underlying exposure to capital instruments or to liabilities included in indices as an alternative to calculating a bank’s exposure to items referred to in one or more of the following</w:t>
      </w:r>
      <w:r w:rsidRPr="003101B1">
        <w:rPr>
          <w:lang w:val="en-GB" w:eastAsia="ro-MD"/>
        </w:rPr>
        <w:t>:</w:t>
      </w:r>
    </w:p>
    <w:p w14:paraId="12B2BFF1" w14:textId="51603CF0" w:rsidR="00071E51" w:rsidRPr="003101B1" w:rsidRDefault="00071E51" w:rsidP="00B81880">
      <w:pPr>
        <w:jc w:val="both"/>
        <w:rPr>
          <w:lang w:val="en-GB" w:eastAsia="ro-MD"/>
        </w:rPr>
      </w:pPr>
      <w:r w:rsidRPr="003101B1">
        <w:rPr>
          <w:lang w:val="en-GB" w:eastAsia="ro-MD"/>
        </w:rPr>
        <w:t xml:space="preserve">1) </w:t>
      </w:r>
      <w:r w:rsidR="002D35CE" w:rsidRPr="003101B1">
        <w:rPr>
          <w:lang w:val="en-GB" w:eastAsia="ro-MD"/>
        </w:rPr>
        <w:t>own Common Equity Tier 1, Additional Tier 1, Tier 2 and eligible liabilities instruments included in indices</w:t>
      </w:r>
      <w:r w:rsidRPr="003101B1">
        <w:rPr>
          <w:lang w:val="en-GB" w:eastAsia="ro-MD"/>
        </w:rPr>
        <w:t>;</w:t>
      </w:r>
    </w:p>
    <w:p w14:paraId="6E7A4735" w14:textId="505AACAA" w:rsidR="00071E51" w:rsidRPr="003101B1" w:rsidRDefault="00071E51" w:rsidP="00B81880">
      <w:pPr>
        <w:jc w:val="both"/>
        <w:rPr>
          <w:lang w:val="en-GB" w:eastAsia="ro-MD"/>
        </w:rPr>
      </w:pPr>
      <w:r w:rsidRPr="003101B1">
        <w:rPr>
          <w:lang w:val="en-GB" w:eastAsia="ro-MD"/>
        </w:rPr>
        <w:t xml:space="preserve">2) </w:t>
      </w:r>
      <w:r w:rsidR="002D35CE" w:rsidRPr="003101B1">
        <w:rPr>
          <w:lang w:val="en-GB" w:eastAsia="ro-MD"/>
        </w:rPr>
        <w:t>common Equity Tier 1, Additional Tier 1 and Tier 2 instruments of financial sector entities included in indices</w:t>
      </w:r>
      <w:r w:rsidRPr="003101B1">
        <w:rPr>
          <w:lang w:val="en-GB" w:eastAsia="ro-MD"/>
        </w:rPr>
        <w:t>;</w:t>
      </w:r>
    </w:p>
    <w:p w14:paraId="640AA11B" w14:textId="3A54986F" w:rsidR="00071E51" w:rsidRPr="003101B1" w:rsidRDefault="00071E51" w:rsidP="00B81880">
      <w:pPr>
        <w:jc w:val="both"/>
        <w:rPr>
          <w:lang w:val="en-GB" w:eastAsia="ro-MD"/>
        </w:rPr>
      </w:pPr>
      <w:r w:rsidRPr="003101B1">
        <w:rPr>
          <w:lang w:val="en-GB" w:eastAsia="ro-MD"/>
        </w:rPr>
        <w:t xml:space="preserve">3) </w:t>
      </w:r>
      <w:r w:rsidR="002D35CE" w:rsidRPr="003101B1">
        <w:rPr>
          <w:lang w:val="en-GB" w:eastAsia="ro-MD"/>
        </w:rPr>
        <w:t>Bank’s eligible liabilities instruments included in indices</w:t>
      </w:r>
      <w:r w:rsidRPr="003101B1">
        <w:rPr>
          <w:lang w:val="en-GB" w:eastAsia="ro-MD"/>
        </w:rPr>
        <w:t>.</w:t>
      </w:r>
      <w:r w:rsidRPr="003101B1">
        <w:rPr>
          <w:sz w:val="18"/>
          <w:szCs w:val="18"/>
          <w:highlight w:val="lightGray"/>
          <w:lang w:val="en-GB" w:eastAsia="ro-MD"/>
        </w:rPr>
        <w:t xml:space="preserve"> </w:t>
      </w:r>
    </w:p>
    <w:p w14:paraId="06D37589" w14:textId="1D38A346" w:rsidR="00071E51" w:rsidRPr="003101B1" w:rsidRDefault="00071E51" w:rsidP="00B81880">
      <w:pPr>
        <w:jc w:val="both"/>
        <w:rPr>
          <w:lang w:val="en-GB" w:eastAsia="ro-MD"/>
        </w:rPr>
      </w:pPr>
      <w:r w:rsidRPr="003101B1">
        <w:rPr>
          <w:b/>
          <w:bCs/>
          <w:lang w:val="en-GB" w:eastAsia="ro-MD"/>
        </w:rPr>
        <w:t>11</w:t>
      </w:r>
      <w:r w:rsidR="00B81880" w:rsidRPr="003101B1">
        <w:rPr>
          <w:b/>
          <w:bCs/>
          <w:lang w:val="en-GB" w:eastAsia="ro-MD"/>
        </w:rPr>
        <w:t>8</w:t>
      </w:r>
      <w:r w:rsidRPr="003101B1">
        <w:rPr>
          <w:b/>
          <w:bCs/>
          <w:vertAlign w:val="superscript"/>
          <w:lang w:val="en-GB" w:eastAsia="ro-MD"/>
        </w:rPr>
        <w:t>3</w:t>
      </w:r>
      <w:r w:rsidRPr="003101B1">
        <w:rPr>
          <w:b/>
          <w:bCs/>
          <w:lang w:val="en-GB" w:eastAsia="ro-MD"/>
        </w:rPr>
        <w:t>.</w:t>
      </w:r>
      <w:r w:rsidRPr="003101B1">
        <w:rPr>
          <w:lang w:val="en-GB" w:eastAsia="ro-MD"/>
        </w:rPr>
        <w:t xml:space="preserve"> </w:t>
      </w:r>
      <w:r w:rsidR="002D35CE" w:rsidRPr="003101B1">
        <w:rPr>
          <w:lang w:val="en-GB" w:eastAsia="ro-MD"/>
        </w:rPr>
        <w:t xml:space="preserve">The National Bank of Moldova shall grant the prior approval referred to in paragraph </w:t>
      </w:r>
      <w:r w:rsidRPr="003101B1">
        <w:rPr>
          <w:lang w:val="en-GB" w:eastAsia="ro-MD"/>
        </w:rPr>
        <w:t>11</w:t>
      </w:r>
      <w:r w:rsidR="00B81880" w:rsidRPr="003101B1">
        <w:rPr>
          <w:lang w:val="en-GB" w:eastAsia="ro-MD"/>
        </w:rPr>
        <w:t>8</w:t>
      </w:r>
      <w:r w:rsidRPr="003101B1">
        <w:rPr>
          <w:vertAlign w:val="superscript"/>
          <w:lang w:val="en-GB" w:eastAsia="ro-MD"/>
        </w:rPr>
        <w:t>2</w:t>
      </w:r>
      <w:r w:rsidRPr="003101B1">
        <w:rPr>
          <w:lang w:val="en-GB" w:eastAsia="ro-MD"/>
        </w:rPr>
        <w:t xml:space="preserve"> </w:t>
      </w:r>
      <w:r w:rsidR="002D35CE" w:rsidRPr="003101B1">
        <w:rPr>
          <w:lang w:val="en-GB" w:eastAsia="ro-MD"/>
        </w:rPr>
        <w:t>only where the bank has demonstrated to the satisfaction of the National Bank of Moldova that it would be operationally burdensome, as set out in Annex 1, to monitor its underlying exposure to one or more of the items referred to in paragraph</w:t>
      </w:r>
      <w:r w:rsidRPr="003101B1">
        <w:rPr>
          <w:lang w:val="en-GB" w:eastAsia="ro-MD"/>
        </w:rPr>
        <w:t xml:space="preserve"> 11</w:t>
      </w:r>
      <w:r w:rsidR="00B81880" w:rsidRPr="003101B1">
        <w:rPr>
          <w:lang w:val="en-GB" w:eastAsia="ro-MD"/>
        </w:rPr>
        <w:t>8</w:t>
      </w:r>
      <w:r w:rsidRPr="003101B1">
        <w:rPr>
          <w:vertAlign w:val="superscript"/>
          <w:lang w:val="en-GB" w:eastAsia="ro-MD"/>
        </w:rPr>
        <w:t>2</w:t>
      </w:r>
      <w:r w:rsidRPr="003101B1">
        <w:rPr>
          <w:lang w:val="en-GB" w:eastAsia="ro-MD"/>
        </w:rPr>
        <w:t xml:space="preserve">. </w:t>
      </w:r>
    </w:p>
    <w:p w14:paraId="422318F3" w14:textId="680DB1C4" w:rsidR="00B3747B" w:rsidRPr="003101B1" w:rsidRDefault="00B3747B" w:rsidP="00B3747B">
      <w:pPr>
        <w:jc w:val="both"/>
        <w:rPr>
          <w:lang w:val="en-GB" w:eastAsia="ro-MD"/>
        </w:rPr>
      </w:pPr>
      <w:r w:rsidRPr="003101B1">
        <w:rPr>
          <w:b/>
          <w:bCs/>
          <w:lang w:val="en-GB" w:eastAsia="ro-MD"/>
        </w:rPr>
        <w:t>118</w:t>
      </w:r>
      <w:r w:rsidRPr="003101B1">
        <w:rPr>
          <w:b/>
          <w:bCs/>
          <w:vertAlign w:val="superscript"/>
          <w:lang w:val="en-GB" w:eastAsia="ro-MD"/>
        </w:rPr>
        <w:t>4</w:t>
      </w:r>
      <w:r w:rsidRPr="003101B1">
        <w:rPr>
          <w:b/>
          <w:bCs/>
          <w:lang w:val="en-GB" w:eastAsia="ro-MD"/>
        </w:rPr>
        <w:t>.</w:t>
      </w:r>
      <w:r w:rsidRPr="003101B1">
        <w:rPr>
          <w:lang w:val="en-GB" w:eastAsia="ro-MD"/>
        </w:rPr>
        <w:t xml:space="preserve"> </w:t>
      </w:r>
      <w:r w:rsidR="002F52E9" w:rsidRPr="003101B1">
        <w:rPr>
          <w:lang w:val="en-GB" w:eastAsia="ro-MD"/>
        </w:rPr>
        <w:t xml:space="preserve">In order to obtain the approval referred to in paragraph </w:t>
      </w:r>
      <w:r w:rsidRPr="003101B1">
        <w:rPr>
          <w:lang w:val="en-GB" w:eastAsia="ro-MD"/>
        </w:rPr>
        <w:t>118</w:t>
      </w:r>
      <w:r w:rsidRPr="003101B1">
        <w:rPr>
          <w:vertAlign w:val="superscript"/>
          <w:lang w:val="en-GB" w:eastAsia="ro-MD"/>
        </w:rPr>
        <w:t>2</w:t>
      </w:r>
      <w:r w:rsidRPr="003101B1">
        <w:rPr>
          <w:lang w:val="en-GB" w:eastAsia="ro-MD"/>
        </w:rPr>
        <w:t xml:space="preserve"> </w:t>
      </w:r>
      <w:r w:rsidR="002F52E9" w:rsidRPr="003101B1">
        <w:rPr>
          <w:lang w:val="en-GB" w:eastAsia="ro-MD"/>
        </w:rPr>
        <w:t xml:space="preserve">the banks shall submit a written request to that effect to the National Bank of Moldova, attaching the information referred to in paragraph </w:t>
      </w:r>
      <w:r w:rsidRPr="003101B1">
        <w:rPr>
          <w:lang w:val="en-GB" w:eastAsia="ro-MD"/>
        </w:rPr>
        <w:t>118</w:t>
      </w:r>
      <w:r w:rsidRPr="003101B1">
        <w:rPr>
          <w:vertAlign w:val="superscript"/>
          <w:lang w:val="en-GB" w:eastAsia="ro-MD"/>
        </w:rPr>
        <w:t>3</w:t>
      </w:r>
      <w:r w:rsidRPr="003101B1">
        <w:rPr>
          <w:lang w:val="en-GB" w:eastAsia="ro-MD"/>
        </w:rPr>
        <w:t xml:space="preserve">. </w:t>
      </w:r>
      <w:r w:rsidR="002F52E9" w:rsidRPr="003101B1">
        <w:rPr>
          <w:lang w:val="en-GB" w:eastAsia="ro-MD"/>
        </w:rPr>
        <w:t>The National Bank of Moldova shall examine that request no later than 15 working days after the date of that request accompanied by the said documents</w:t>
      </w:r>
      <w:r w:rsidRPr="003101B1">
        <w:rPr>
          <w:lang w:val="en-GB" w:eastAsia="ro-MD"/>
        </w:rPr>
        <w:t>.</w:t>
      </w:r>
    </w:p>
    <w:p w14:paraId="7950AB62" w14:textId="2918E2E7" w:rsidR="00071E51" w:rsidRPr="003101B1" w:rsidRDefault="00071E51" w:rsidP="00B81880">
      <w:pPr>
        <w:jc w:val="both"/>
        <w:rPr>
          <w:lang w:val="en-GB" w:eastAsia="ro-MD"/>
        </w:rPr>
      </w:pPr>
      <w:r w:rsidRPr="003101B1">
        <w:rPr>
          <w:b/>
          <w:bCs/>
          <w:lang w:val="en-GB" w:eastAsia="ro-MD"/>
        </w:rPr>
        <w:t>11</w:t>
      </w:r>
      <w:r w:rsidR="00B81880" w:rsidRPr="003101B1">
        <w:rPr>
          <w:b/>
          <w:bCs/>
          <w:lang w:val="en-GB" w:eastAsia="ro-MD"/>
        </w:rPr>
        <w:t>8</w:t>
      </w:r>
      <w:r w:rsidR="00F51EE4" w:rsidRPr="003101B1">
        <w:rPr>
          <w:b/>
          <w:bCs/>
          <w:vertAlign w:val="superscript"/>
          <w:lang w:val="en-GB" w:eastAsia="ro-MD"/>
        </w:rPr>
        <w:t>5</w:t>
      </w:r>
      <w:r w:rsidRPr="003101B1">
        <w:rPr>
          <w:b/>
          <w:bCs/>
          <w:lang w:val="en-GB" w:eastAsia="ro-MD"/>
        </w:rPr>
        <w:t>.</w:t>
      </w:r>
      <w:r w:rsidRPr="003101B1">
        <w:rPr>
          <w:lang w:val="en-GB" w:eastAsia="ro-MD"/>
        </w:rPr>
        <w:t xml:space="preserve"> </w:t>
      </w:r>
      <w:r w:rsidR="002F52E9" w:rsidRPr="003101B1">
        <w:rPr>
          <w:lang w:val="en-GB" w:eastAsia="ro-MD"/>
        </w:rPr>
        <w:t xml:space="preserve">For the purposes of paragraph </w:t>
      </w:r>
      <w:r w:rsidRPr="003101B1">
        <w:rPr>
          <w:lang w:val="en-GB" w:eastAsia="ro-MD"/>
        </w:rPr>
        <w:t>11</w:t>
      </w:r>
      <w:r w:rsidR="00B81880" w:rsidRPr="003101B1">
        <w:rPr>
          <w:lang w:val="en-GB" w:eastAsia="ro-MD"/>
        </w:rPr>
        <w:t>8</w:t>
      </w:r>
      <w:r w:rsidRPr="003101B1">
        <w:rPr>
          <w:vertAlign w:val="superscript"/>
          <w:lang w:val="en-GB" w:eastAsia="ro-MD"/>
        </w:rPr>
        <w:t>2</w:t>
      </w:r>
      <w:r w:rsidRPr="003101B1">
        <w:rPr>
          <w:lang w:val="en-GB" w:eastAsia="ro-MD"/>
        </w:rPr>
        <w:t xml:space="preserve">, </w:t>
      </w:r>
      <w:r w:rsidR="002F52E9" w:rsidRPr="003101B1">
        <w:rPr>
          <w:lang w:val="en-GB" w:eastAsia="ro-MD"/>
        </w:rPr>
        <w:t>an estimate shall be sufficiently conservative if any of the following conditions is met</w:t>
      </w:r>
      <w:r w:rsidRPr="003101B1">
        <w:rPr>
          <w:lang w:val="en-GB" w:eastAsia="ro-MD"/>
        </w:rPr>
        <w:t>:</w:t>
      </w:r>
    </w:p>
    <w:p w14:paraId="26CBCBA9" w14:textId="1976D541" w:rsidR="00071E51" w:rsidRPr="003101B1" w:rsidRDefault="00071E51" w:rsidP="00B81880">
      <w:pPr>
        <w:jc w:val="both"/>
        <w:rPr>
          <w:lang w:val="en-GB" w:eastAsia="ro-MD"/>
        </w:rPr>
      </w:pPr>
      <w:r w:rsidRPr="003101B1">
        <w:rPr>
          <w:lang w:val="en-GB" w:eastAsia="ro-MD"/>
        </w:rPr>
        <w:t xml:space="preserve">1) </w:t>
      </w:r>
      <w:r w:rsidR="002F52E9" w:rsidRPr="003101B1">
        <w:rPr>
          <w:lang w:val="en-GB" w:eastAsia="ro-MD"/>
        </w:rPr>
        <w:t>where the index investment mandate provides that an own funds instrument of a financial sector entity or an eligible liabilities instrument of a bank that is part of the index may not exceed a maximum percentage of the index, the bank shall use that percentage as an estimate for the amount of holdings that is deducted from Common Equity Tier 1, Additional Tier 1 or Tier 2 items, as applicable, or Common Equity Tier 1 items in situations where the bank cannot determine the exact nature of the holding</w:t>
      </w:r>
      <w:r w:rsidRPr="003101B1">
        <w:rPr>
          <w:lang w:val="en-GB" w:eastAsia="ro-MD"/>
        </w:rPr>
        <w:t>;</w:t>
      </w:r>
    </w:p>
    <w:p w14:paraId="7350CC03" w14:textId="5B1A00C1" w:rsidR="00071E51" w:rsidRPr="003101B1" w:rsidRDefault="00071E51" w:rsidP="00B81880">
      <w:pPr>
        <w:jc w:val="both"/>
        <w:rPr>
          <w:lang w:val="en-GB" w:eastAsia="ro-MD"/>
        </w:rPr>
      </w:pPr>
      <w:r w:rsidRPr="003101B1">
        <w:rPr>
          <w:lang w:val="en-GB" w:eastAsia="ro-MD"/>
        </w:rPr>
        <w:t xml:space="preserve">2) </w:t>
      </w:r>
      <w:r w:rsidR="002F52E9" w:rsidRPr="003101B1">
        <w:rPr>
          <w:lang w:val="en-GB" w:eastAsia="ro-MD"/>
        </w:rPr>
        <w:t>where the bank cannot determine the maximum percentage referred to in sub-paragraph 1), and where the index, as evidenced by the investment mandate or other relevant information, includes the own funds instruments of financial sector entities or eligible liabilities instruments of banks, the bank shall deduct the total amount of the index holdings from Common Equity Tier 1, Additional Tier 1 or Tier 2 items, as applicable, or from Common Equity Tier 1 items in situations where the bank cannot determine the exact nature of the holding</w:t>
      </w:r>
      <w:r w:rsidRPr="003101B1">
        <w:rPr>
          <w:lang w:val="en-GB" w:eastAsia="ro-MD"/>
        </w:rPr>
        <w:t xml:space="preserve">. </w:t>
      </w:r>
      <w:r w:rsidRPr="003101B1">
        <w:rPr>
          <w:sz w:val="18"/>
          <w:szCs w:val="18"/>
          <w:highlight w:val="lightGray"/>
          <w:lang w:val="en-GB" w:eastAsia="ro-MD"/>
        </w:rPr>
        <w:t xml:space="preserve"> </w:t>
      </w:r>
    </w:p>
    <w:p w14:paraId="7DAF8313" w14:textId="3526716F" w:rsidR="00071E51" w:rsidRPr="003101B1" w:rsidRDefault="00071E51" w:rsidP="00B81880">
      <w:pPr>
        <w:jc w:val="both"/>
        <w:rPr>
          <w:lang w:val="en-GB" w:eastAsia="ro-MD"/>
        </w:rPr>
      </w:pPr>
      <w:r w:rsidRPr="003101B1">
        <w:rPr>
          <w:b/>
          <w:bCs/>
          <w:lang w:val="en-GB" w:eastAsia="ro-MD"/>
        </w:rPr>
        <w:t>11</w:t>
      </w:r>
      <w:r w:rsidR="00B81880" w:rsidRPr="003101B1">
        <w:rPr>
          <w:b/>
          <w:bCs/>
          <w:lang w:val="en-GB" w:eastAsia="ro-MD"/>
        </w:rPr>
        <w:t>8</w:t>
      </w:r>
      <w:r w:rsidR="00F51EE4" w:rsidRPr="003101B1">
        <w:rPr>
          <w:b/>
          <w:bCs/>
          <w:vertAlign w:val="superscript"/>
          <w:lang w:val="en-GB" w:eastAsia="ro-MD"/>
        </w:rPr>
        <w:t>6</w:t>
      </w:r>
      <w:r w:rsidRPr="003101B1">
        <w:rPr>
          <w:b/>
          <w:bCs/>
          <w:lang w:val="en-GB" w:eastAsia="ro-MD"/>
        </w:rPr>
        <w:t>.</w:t>
      </w:r>
      <w:r w:rsidRPr="003101B1">
        <w:rPr>
          <w:lang w:val="en-GB" w:eastAsia="ro-MD"/>
        </w:rPr>
        <w:t xml:space="preserve"> </w:t>
      </w:r>
      <w:r w:rsidR="002F52E9" w:rsidRPr="003101B1">
        <w:rPr>
          <w:lang w:val="en-GB" w:eastAsia="ro-MD"/>
        </w:rPr>
        <w:t xml:space="preserve">For the purposes of paragraph </w:t>
      </w:r>
      <w:r w:rsidRPr="003101B1">
        <w:rPr>
          <w:lang w:val="en-GB" w:eastAsia="ro-MD"/>
        </w:rPr>
        <w:t>11</w:t>
      </w:r>
      <w:r w:rsidR="00B81880" w:rsidRPr="003101B1">
        <w:rPr>
          <w:lang w:val="en-GB" w:eastAsia="ro-MD"/>
        </w:rPr>
        <w:t>8</w:t>
      </w:r>
      <w:r w:rsidR="00EC0988" w:rsidRPr="003101B1">
        <w:rPr>
          <w:vertAlign w:val="superscript"/>
          <w:lang w:val="en-GB" w:eastAsia="ro-MD"/>
        </w:rPr>
        <w:t>5</w:t>
      </w:r>
      <w:r w:rsidRPr="003101B1">
        <w:rPr>
          <w:lang w:val="en-GB" w:eastAsia="ro-MD"/>
        </w:rPr>
        <w:t xml:space="preserve">, </w:t>
      </w:r>
      <w:r w:rsidR="002F52E9" w:rsidRPr="003101B1">
        <w:rPr>
          <w:lang w:val="en-GB" w:eastAsia="ro-MD"/>
        </w:rPr>
        <w:t>the following shall apply</w:t>
      </w:r>
      <w:r w:rsidRPr="003101B1">
        <w:rPr>
          <w:lang w:val="en-GB" w:eastAsia="ro-MD"/>
        </w:rPr>
        <w:t>:</w:t>
      </w:r>
    </w:p>
    <w:p w14:paraId="514476FF" w14:textId="257CC3ED" w:rsidR="00071E51" w:rsidRPr="003101B1" w:rsidRDefault="00071E51" w:rsidP="00FF2FD6">
      <w:pPr>
        <w:jc w:val="both"/>
        <w:rPr>
          <w:lang w:val="en-GB" w:eastAsia="ro-MD"/>
        </w:rPr>
      </w:pPr>
      <w:r w:rsidRPr="003101B1">
        <w:rPr>
          <w:lang w:val="en-GB" w:eastAsia="ro-MD"/>
        </w:rPr>
        <w:t xml:space="preserve">1) </w:t>
      </w:r>
      <w:r w:rsidR="002F52E9" w:rsidRPr="003101B1">
        <w:rPr>
          <w:lang w:val="en-GB" w:eastAsia="ro-MD"/>
        </w:rPr>
        <w:t>an indirect holding resulting from an index holding shall comprise the proportion of the index invested in the Common Equity Tier 1, Additional Tier 1 and Tier 2 instruments of financial sector entities and in the eligible liabilities instruments of banks included in the index</w:t>
      </w:r>
      <w:r w:rsidRPr="003101B1">
        <w:rPr>
          <w:lang w:val="en-GB" w:eastAsia="ro-MD"/>
        </w:rPr>
        <w:t>;</w:t>
      </w:r>
    </w:p>
    <w:p w14:paraId="4A9601A8" w14:textId="511B65ED" w:rsidR="00071E51" w:rsidRPr="003101B1" w:rsidRDefault="00071E51" w:rsidP="00FF2FD6">
      <w:pPr>
        <w:jc w:val="both"/>
        <w:rPr>
          <w:lang w:val="en-GB" w:eastAsia="ro-MD"/>
        </w:rPr>
      </w:pPr>
      <w:r w:rsidRPr="003101B1">
        <w:rPr>
          <w:lang w:val="en-GB" w:eastAsia="ro-MD"/>
        </w:rPr>
        <w:t xml:space="preserve">2) </w:t>
      </w:r>
      <w:r w:rsidR="002F52E9" w:rsidRPr="003101B1">
        <w:rPr>
          <w:lang w:val="en-GB" w:eastAsia="ro-MD"/>
        </w:rPr>
        <w:t>an index includes index funds, equity or bond indices or any other scheme where the underlying instrument is an own funds instrument issued by a financial sector entity or an eligible liabilities instrument issued by a bank</w:t>
      </w:r>
      <w:r w:rsidRPr="003101B1">
        <w:rPr>
          <w:lang w:val="en-GB" w:eastAsia="ro-MD"/>
        </w:rPr>
        <w:t>.</w:t>
      </w:r>
    </w:p>
    <w:p w14:paraId="2C0CC0AD" w14:textId="09BBB6BA" w:rsidR="00071E51" w:rsidRPr="003101B1" w:rsidRDefault="00071E51" w:rsidP="00FF2FD6">
      <w:pPr>
        <w:spacing w:before="80"/>
        <w:jc w:val="center"/>
        <w:rPr>
          <w:lang w:val="en-GB" w:eastAsia="ro-MD"/>
        </w:rPr>
      </w:pPr>
      <w:r w:rsidRPr="003101B1">
        <w:rPr>
          <w:b/>
          <w:bCs/>
          <w:i/>
          <w:iCs/>
          <w:lang w:val="en-GB" w:eastAsia="ro-MD"/>
        </w:rPr>
        <w:t>Sec</w:t>
      </w:r>
      <w:r w:rsidR="002F52E9" w:rsidRPr="003101B1">
        <w:rPr>
          <w:b/>
          <w:bCs/>
          <w:i/>
          <w:iCs/>
          <w:lang w:val="en-GB" w:eastAsia="ro-MD"/>
        </w:rPr>
        <w:t xml:space="preserve">tion </w:t>
      </w:r>
      <w:r w:rsidRPr="003101B1">
        <w:rPr>
          <w:b/>
          <w:bCs/>
          <w:i/>
          <w:iCs/>
          <w:lang w:val="en-GB" w:eastAsia="ro-MD"/>
        </w:rPr>
        <w:t>2</w:t>
      </w:r>
      <w:r w:rsidRPr="003101B1">
        <w:rPr>
          <w:b/>
          <w:bCs/>
          <w:i/>
          <w:iCs/>
          <w:vertAlign w:val="superscript"/>
          <w:lang w:val="en-GB" w:eastAsia="ro-MD"/>
        </w:rPr>
        <w:t>2</w:t>
      </w:r>
    </w:p>
    <w:p w14:paraId="6AC0A5E3" w14:textId="7DA46F25" w:rsidR="00071E51" w:rsidRPr="003101B1" w:rsidRDefault="006B48F8" w:rsidP="00CE4D09">
      <w:pPr>
        <w:jc w:val="both"/>
        <w:rPr>
          <w:lang w:val="en-GB" w:eastAsia="ro-MD"/>
        </w:rPr>
      </w:pPr>
      <w:r w:rsidRPr="003101B1">
        <w:rPr>
          <w:b/>
          <w:bCs/>
          <w:i/>
          <w:iCs/>
          <w:lang w:val="en-GB" w:eastAsia="ro-MD"/>
        </w:rPr>
        <w:t xml:space="preserve">Assessment of compliance with the conditions for own funds and eligible liabilities instruments </w:t>
      </w:r>
      <w:r w:rsidR="00071E51" w:rsidRPr="003101B1">
        <w:rPr>
          <w:b/>
          <w:bCs/>
          <w:lang w:val="en-GB" w:eastAsia="ro-MD"/>
        </w:rPr>
        <w:t>11</w:t>
      </w:r>
      <w:r w:rsidR="00CE4D09" w:rsidRPr="003101B1">
        <w:rPr>
          <w:b/>
          <w:bCs/>
          <w:lang w:val="en-GB" w:eastAsia="ro-MD"/>
        </w:rPr>
        <w:t>8</w:t>
      </w:r>
      <w:r w:rsidR="00F51EE4" w:rsidRPr="003101B1">
        <w:rPr>
          <w:b/>
          <w:bCs/>
          <w:vertAlign w:val="superscript"/>
          <w:lang w:val="en-GB" w:eastAsia="ro-MD"/>
        </w:rPr>
        <w:t>7</w:t>
      </w:r>
      <w:r w:rsidR="00071E51" w:rsidRPr="003101B1">
        <w:rPr>
          <w:b/>
          <w:bCs/>
          <w:lang w:val="en-GB" w:eastAsia="ro-MD"/>
        </w:rPr>
        <w:t>.</w:t>
      </w:r>
      <w:r w:rsidR="00CE4D09" w:rsidRPr="003101B1">
        <w:rPr>
          <w:lang w:val="en-GB" w:eastAsia="ro-MD"/>
        </w:rPr>
        <w:t xml:space="preserve"> </w:t>
      </w:r>
      <w:r w:rsidRPr="003101B1">
        <w:rPr>
          <w:lang w:val="en-GB" w:eastAsia="ro-MD"/>
        </w:rPr>
        <w:t xml:space="preserve">Banks shall take into account the substantive characteristics of the instruments and not only their legal form when assessing compliance with the requirements set out in Chapters </w:t>
      </w:r>
      <w:r w:rsidR="00071E51" w:rsidRPr="003101B1">
        <w:rPr>
          <w:lang w:val="en-GB" w:eastAsia="ro-MD"/>
        </w:rPr>
        <w:t>I – VI.</w:t>
      </w:r>
    </w:p>
    <w:p w14:paraId="041FBD8F" w14:textId="668FAF09" w:rsidR="00876168" w:rsidRPr="003101B1" w:rsidRDefault="00071E51" w:rsidP="00CE4D09">
      <w:pPr>
        <w:jc w:val="both"/>
        <w:rPr>
          <w:lang w:val="en-GB" w:eastAsia="ro-MD"/>
        </w:rPr>
      </w:pPr>
      <w:r w:rsidRPr="003101B1">
        <w:rPr>
          <w:b/>
          <w:bCs/>
          <w:lang w:val="en-GB" w:eastAsia="ro-MD"/>
        </w:rPr>
        <w:t>11</w:t>
      </w:r>
      <w:r w:rsidR="00CE4D09" w:rsidRPr="003101B1">
        <w:rPr>
          <w:b/>
          <w:bCs/>
          <w:lang w:val="en-GB" w:eastAsia="ro-MD"/>
        </w:rPr>
        <w:t>8</w:t>
      </w:r>
      <w:r w:rsidR="00F51EE4" w:rsidRPr="003101B1">
        <w:rPr>
          <w:b/>
          <w:bCs/>
          <w:vertAlign w:val="superscript"/>
          <w:lang w:val="en-GB" w:eastAsia="ro-MD"/>
        </w:rPr>
        <w:t>8</w:t>
      </w:r>
      <w:r w:rsidRPr="003101B1">
        <w:rPr>
          <w:b/>
          <w:bCs/>
          <w:lang w:val="en-GB" w:eastAsia="ro-MD"/>
        </w:rPr>
        <w:t xml:space="preserve">. </w:t>
      </w:r>
      <w:r w:rsidR="006B48F8" w:rsidRPr="003101B1">
        <w:rPr>
          <w:lang w:val="en-GB" w:eastAsia="ro-MD"/>
        </w:rPr>
        <w:t xml:space="preserve">For the assessment of the </w:t>
      </w:r>
      <w:r w:rsidR="0051033A" w:rsidRPr="003101B1">
        <w:rPr>
          <w:lang w:val="en-GB" w:eastAsia="ro-MD"/>
        </w:rPr>
        <w:t>substantial features</w:t>
      </w:r>
      <w:r w:rsidR="006B48F8" w:rsidRPr="003101B1">
        <w:rPr>
          <w:lang w:val="en-GB" w:eastAsia="ro-MD"/>
        </w:rPr>
        <w:t xml:space="preserve"> of an instrument, all arrangements related to the instruments shall be taken into account, even where those are not explicitly provided for in the terms and conditions of the instruments themselves, in order to determine whether the combined economic effects of those arrangements are consistent with the objective of the relevant provisions</w:t>
      </w:r>
      <w:r w:rsidRPr="003101B1">
        <w:rPr>
          <w:lang w:val="en-GB" w:eastAsia="ro-MD"/>
        </w:rPr>
        <w:t>.</w:t>
      </w:r>
      <w:r w:rsidR="008E442C" w:rsidRPr="003101B1">
        <w:rPr>
          <w:lang w:val="en-GB" w:eastAsia="ro-MD"/>
        </w:rPr>
        <w:t>”.</w:t>
      </w:r>
    </w:p>
    <w:p w14:paraId="7280160E" w14:textId="7C7927DF" w:rsidR="00876168" w:rsidRPr="003101B1" w:rsidRDefault="006B48F8" w:rsidP="00FF2FD6">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876168" w:rsidRPr="003101B1">
        <w:rPr>
          <w:lang w:val="en-GB" w:eastAsia="ro-MD"/>
        </w:rPr>
        <w:t xml:space="preserve"> 119:</w:t>
      </w:r>
    </w:p>
    <w:p w14:paraId="1B3B4DC0" w14:textId="6B3A14BD" w:rsidR="00876168" w:rsidRPr="003101B1" w:rsidRDefault="006B48F8" w:rsidP="00FF10CA">
      <w:pPr>
        <w:pStyle w:val="ListParagraph"/>
        <w:numPr>
          <w:ilvl w:val="2"/>
          <w:numId w:val="27"/>
        </w:numPr>
        <w:ind w:left="0" w:firstLine="567"/>
        <w:jc w:val="both"/>
        <w:rPr>
          <w:lang w:val="en-GB" w:eastAsia="ro-MD"/>
        </w:rPr>
      </w:pPr>
      <w:r w:rsidRPr="003101B1">
        <w:rPr>
          <w:lang w:val="en-GB" w:eastAsia="ro-MD"/>
        </w:rPr>
        <w:t xml:space="preserve">in sub-paragraph </w:t>
      </w:r>
      <w:r w:rsidR="00876168" w:rsidRPr="003101B1">
        <w:rPr>
          <w:lang w:val="en-GB" w:eastAsia="ro-MD"/>
        </w:rPr>
        <w:t>1)</w:t>
      </w:r>
      <w:r w:rsidR="00225FB7" w:rsidRPr="003101B1">
        <w:rPr>
          <w:lang w:val="en-GB" w:eastAsia="ro-MD"/>
        </w:rPr>
        <w:t>,</w:t>
      </w:r>
      <w:r w:rsidR="00876168" w:rsidRPr="003101B1">
        <w:rPr>
          <w:lang w:val="en-GB" w:eastAsia="ro-MD"/>
        </w:rPr>
        <w:t xml:space="preserve"> </w:t>
      </w:r>
      <w:r w:rsidRPr="003101B1">
        <w:rPr>
          <w:lang w:val="en-GB" w:eastAsia="ro-MD"/>
        </w:rPr>
        <w:t>the words</w:t>
      </w:r>
      <w:r w:rsidR="00876168" w:rsidRPr="003101B1">
        <w:rPr>
          <w:lang w:val="en-GB" w:eastAsia="ro-MD"/>
        </w:rPr>
        <w:t xml:space="preserve"> </w:t>
      </w:r>
      <w:r w:rsidRPr="003101B1">
        <w:rPr>
          <w:lang w:val="en-GB" w:eastAsia="ro-MD"/>
        </w:rPr>
        <w:t>“</w:t>
      </w:r>
      <w:r w:rsidR="00876168" w:rsidRPr="003101B1">
        <w:rPr>
          <w:lang w:val="en-GB" w:eastAsia="ro-MD"/>
        </w:rPr>
        <w:t xml:space="preserve">, </w:t>
      </w:r>
      <w:r w:rsidR="0051033A" w:rsidRPr="003101B1">
        <w:rPr>
          <w:lang w:val="en-GB" w:eastAsia="ro-MD"/>
        </w:rPr>
        <w:t>repay</w:t>
      </w:r>
      <w:r w:rsidR="00876168" w:rsidRPr="003101B1">
        <w:rPr>
          <w:lang w:val="en-GB" w:eastAsia="ro-MD"/>
        </w:rPr>
        <w:t xml:space="preserve">” </w:t>
      </w:r>
      <w:r w:rsidRPr="003101B1">
        <w:rPr>
          <w:lang w:val="en-GB" w:eastAsia="ro-MD"/>
        </w:rPr>
        <w:t>and</w:t>
      </w:r>
      <w:r w:rsidR="00876168" w:rsidRPr="003101B1">
        <w:rPr>
          <w:lang w:val="en-GB" w:eastAsia="ro-MD"/>
        </w:rPr>
        <w:t xml:space="preserve"> </w:t>
      </w:r>
      <w:r w:rsidRPr="003101B1">
        <w:rPr>
          <w:lang w:val="en-GB" w:eastAsia="ro-MD"/>
        </w:rPr>
        <w:t>“</w:t>
      </w:r>
      <w:r w:rsidRPr="003101B1">
        <w:rPr>
          <w:lang w:val="en-GB"/>
        </w:rPr>
        <w:t>and/or</w:t>
      </w:r>
      <w:r w:rsidR="00876168" w:rsidRPr="003101B1">
        <w:rPr>
          <w:lang w:val="en-GB" w:eastAsia="ro-MD"/>
        </w:rPr>
        <w:t xml:space="preserve">” </w:t>
      </w:r>
      <w:r w:rsidRPr="003101B1">
        <w:rPr>
          <w:lang w:val="en-GB" w:eastAsia="ro-MD"/>
        </w:rPr>
        <w:t>shall be excluded</w:t>
      </w:r>
      <w:r w:rsidR="00876168" w:rsidRPr="003101B1">
        <w:rPr>
          <w:lang w:val="en-GB" w:eastAsia="ro-MD"/>
        </w:rPr>
        <w:t>;</w:t>
      </w:r>
    </w:p>
    <w:p w14:paraId="6DC4C7C6" w14:textId="2417FD27" w:rsidR="00876168" w:rsidRPr="003101B1" w:rsidRDefault="0051033A" w:rsidP="00FF10CA">
      <w:pPr>
        <w:pStyle w:val="ListParagraph"/>
        <w:numPr>
          <w:ilvl w:val="2"/>
          <w:numId w:val="27"/>
        </w:numPr>
        <w:ind w:left="0" w:firstLine="567"/>
        <w:jc w:val="both"/>
        <w:rPr>
          <w:lang w:val="en-GB" w:eastAsia="ro-MD"/>
        </w:rPr>
      </w:pPr>
      <w:r w:rsidRPr="003101B1">
        <w:rPr>
          <w:lang w:val="en-GB" w:eastAsia="ro-MD"/>
        </w:rPr>
        <w:t>in sub-paragraph</w:t>
      </w:r>
      <w:r w:rsidR="00876168" w:rsidRPr="003101B1">
        <w:rPr>
          <w:lang w:val="en-GB" w:eastAsia="ro-MD"/>
        </w:rPr>
        <w:t xml:space="preserve"> 2)</w:t>
      </w:r>
      <w:r w:rsidR="00225FB7" w:rsidRPr="003101B1">
        <w:rPr>
          <w:lang w:val="en-GB" w:eastAsia="ro-MD"/>
        </w:rPr>
        <w:t>,</w:t>
      </w:r>
      <w:r w:rsidR="00876168" w:rsidRPr="003101B1">
        <w:rPr>
          <w:lang w:val="en-GB" w:eastAsia="ro-MD"/>
        </w:rPr>
        <w:t xml:space="preserve"> </w:t>
      </w:r>
      <w:r w:rsidRPr="003101B1">
        <w:rPr>
          <w:lang w:val="en-GB" w:eastAsia="ro-MD"/>
        </w:rPr>
        <w:t>the word</w:t>
      </w:r>
      <w:r w:rsidR="00876168" w:rsidRPr="003101B1">
        <w:rPr>
          <w:lang w:val="en-GB" w:eastAsia="ro-MD"/>
        </w:rPr>
        <w:t xml:space="preserve"> </w:t>
      </w:r>
      <w:r w:rsidRPr="003101B1">
        <w:rPr>
          <w:lang w:val="en-GB" w:eastAsia="ro-MD"/>
        </w:rPr>
        <w:t>“purchase</w:t>
      </w:r>
      <w:r w:rsidR="00876168" w:rsidRPr="003101B1">
        <w:rPr>
          <w:lang w:val="en-GB" w:eastAsia="ro-MD"/>
        </w:rPr>
        <w:t xml:space="preserve">” </w:t>
      </w:r>
      <w:r w:rsidRPr="003101B1">
        <w:rPr>
          <w:lang w:val="en-GB" w:eastAsia="ro-MD"/>
        </w:rPr>
        <w:t xml:space="preserve">shall be </w:t>
      </w:r>
      <w:r w:rsidR="000807A9" w:rsidRPr="003101B1">
        <w:rPr>
          <w:lang w:val="en-GB" w:eastAsia="ro-MD"/>
        </w:rPr>
        <w:t xml:space="preserve">replaced </w:t>
      </w:r>
      <w:r w:rsidRPr="003101B1">
        <w:rPr>
          <w:lang w:val="en-GB" w:eastAsia="ro-MD"/>
        </w:rPr>
        <w:t xml:space="preserve">with the </w:t>
      </w:r>
      <w:r w:rsidR="000807A9" w:rsidRPr="003101B1">
        <w:rPr>
          <w:lang w:val="en-GB" w:eastAsia="ro-MD"/>
        </w:rPr>
        <w:t>text</w:t>
      </w:r>
      <w:r w:rsidR="00876168" w:rsidRPr="003101B1">
        <w:rPr>
          <w:lang w:val="en-GB" w:eastAsia="ro-MD"/>
        </w:rPr>
        <w:t xml:space="preserve"> </w:t>
      </w:r>
      <w:r w:rsidRPr="003101B1">
        <w:rPr>
          <w:lang w:val="en-GB" w:eastAsia="ro-MD"/>
        </w:rPr>
        <w:t>“</w:t>
      </w:r>
      <w:r w:rsidR="000807A9" w:rsidRPr="003101B1">
        <w:rPr>
          <w:lang w:val="en-GB" w:eastAsia="ro-MD"/>
        </w:rPr>
        <w:t>exercise call options</w:t>
      </w:r>
      <w:r w:rsidR="00876168" w:rsidRPr="003101B1">
        <w:rPr>
          <w:lang w:val="en-GB" w:eastAsia="ro-MD"/>
        </w:rPr>
        <w:t>”;</w:t>
      </w:r>
    </w:p>
    <w:p w14:paraId="19EC018E" w14:textId="7C680DEE" w:rsidR="00876168" w:rsidRPr="003101B1" w:rsidRDefault="0051033A" w:rsidP="00FF10CA">
      <w:pPr>
        <w:pStyle w:val="ListParagraph"/>
        <w:numPr>
          <w:ilvl w:val="2"/>
          <w:numId w:val="27"/>
        </w:numPr>
        <w:ind w:left="0" w:firstLine="567"/>
        <w:jc w:val="both"/>
        <w:rPr>
          <w:lang w:val="en-GB" w:eastAsia="ro-MD"/>
        </w:rPr>
      </w:pPr>
      <w:r w:rsidRPr="003101B1">
        <w:rPr>
          <w:lang w:val="en-GB" w:eastAsia="ro-MD"/>
        </w:rPr>
        <w:t>sub-paragraph</w:t>
      </w:r>
      <w:r w:rsidR="00876168" w:rsidRPr="003101B1">
        <w:rPr>
          <w:lang w:val="en-GB" w:eastAsia="ro-MD"/>
        </w:rPr>
        <w:t xml:space="preserve"> 3) </w:t>
      </w:r>
      <w:r w:rsidRPr="003101B1">
        <w:rPr>
          <w:lang w:val="en-GB" w:eastAsia="ro-MD"/>
        </w:rPr>
        <w:t>shall be added with the following content</w:t>
      </w:r>
      <w:r w:rsidR="00876168" w:rsidRPr="003101B1">
        <w:rPr>
          <w:lang w:val="en-GB" w:eastAsia="ro-MD"/>
        </w:rPr>
        <w:t>:</w:t>
      </w:r>
    </w:p>
    <w:p w14:paraId="17A6CC3E" w14:textId="327EBEE8" w:rsidR="00876168" w:rsidRPr="003101B1" w:rsidRDefault="0051033A" w:rsidP="00994775">
      <w:pPr>
        <w:jc w:val="both"/>
        <w:rPr>
          <w:sz w:val="18"/>
          <w:szCs w:val="18"/>
          <w:lang w:val="en-GB" w:eastAsia="ro-MD"/>
        </w:rPr>
      </w:pPr>
      <w:r w:rsidRPr="003101B1">
        <w:rPr>
          <w:lang w:val="en-GB" w:eastAsia="ro-MD"/>
        </w:rPr>
        <w:t>“</w:t>
      </w:r>
      <w:r w:rsidR="00876168" w:rsidRPr="003101B1">
        <w:rPr>
          <w:lang w:val="en-GB" w:eastAsia="ro-MD"/>
        </w:rPr>
        <w:t xml:space="preserve">3) </w:t>
      </w:r>
      <w:r w:rsidRPr="003101B1">
        <w:rPr>
          <w:lang w:val="en-GB" w:eastAsia="ro-MD"/>
        </w:rPr>
        <w:t>reduce, distribute or reclassify as another own funds item the share premium accounts related to own funds instruments</w:t>
      </w:r>
      <w:r w:rsidR="00876168" w:rsidRPr="003101B1">
        <w:rPr>
          <w:lang w:val="en-GB" w:eastAsia="ro-MD"/>
        </w:rPr>
        <w:t>.</w:t>
      </w:r>
      <w:r w:rsidR="00876168" w:rsidRPr="003101B1">
        <w:rPr>
          <w:sz w:val="18"/>
          <w:szCs w:val="18"/>
          <w:lang w:val="en-GB" w:eastAsia="ro-MD"/>
        </w:rPr>
        <w:t>”.</w:t>
      </w:r>
    </w:p>
    <w:p w14:paraId="01A78D5C" w14:textId="680271E6" w:rsidR="00876168" w:rsidRPr="003101B1" w:rsidRDefault="0051033A" w:rsidP="00FF2FD6">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876168" w:rsidRPr="003101B1">
        <w:rPr>
          <w:lang w:val="en-GB" w:eastAsia="ro-MD"/>
        </w:rPr>
        <w:t xml:space="preserve"> 119</w:t>
      </w:r>
      <w:r w:rsidR="00876168" w:rsidRPr="003101B1">
        <w:rPr>
          <w:vertAlign w:val="superscript"/>
          <w:lang w:val="en-GB" w:eastAsia="ro-MD"/>
        </w:rPr>
        <w:t xml:space="preserve">1 </w:t>
      </w:r>
      <w:r w:rsidRPr="003101B1">
        <w:rPr>
          <w:lang w:val="en-GB" w:eastAsia="ro-MD"/>
        </w:rPr>
        <w:t>shall be added with the following content</w:t>
      </w:r>
      <w:r w:rsidR="00876168" w:rsidRPr="003101B1">
        <w:rPr>
          <w:lang w:val="en-GB" w:eastAsia="ro-MD"/>
        </w:rPr>
        <w:t>:</w:t>
      </w:r>
    </w:p>
    <w:p w14:paraId="4AD0CC5E" w14:textId="4BBBDCC2" w:rsidR="00876168" w:rsidRPr="003101B1" w:rsidRDefault="0051033A" w:rsidP="00876168">
      <w:pPr>
        <w:jc w:val="both"/>
        <w:rPr>
          <w:lang w:val="en-GB" w:eastAsia="ro-MD"/>
        </w:rPr>
      </w:pPr>
      <w:r w:rsidRPr="003101B1">
        <w:rPr>
          <w:lang w:val="en-GB" w:eastAsia="ro-MD"/>
        </w:rPr>
        <w:t>“</w:t>
      </w:r>
      <w:r w:rsidR="00876168" w:rsidRPr="003101B1">
        <w:rPr>
          <w:b/>
          <w:bCs/>
          <w:lang w:val="en-GB" w:eastAsia="ro-MD"/>
        </w:rPr>
        <w:t>119</w:t>
      </w:r>
      <w:r w:rsidR="00876168" w:rsidRPr="003101B1">
        <w:rPr>
          <w:b/>
          <w:bCs/>
          <w:vertAlign w:val="superscript"/>
          <w:lang w:val="en-GB" w:eastAsia="ro-MD"/>
        </w:rPr>
        <w:t>1</w:t>
      </w:r>
      <w:r w:rsidR="00876168" w:rsidRPr="003101B1">
        <w:rPr>
          <w:b/>
          <w:bCs/>
          <w:lang w:val="en-GB" w:eastAsia="ro-MD"/>
        </w:rPr>
        <w:t>.</w:t>
      </w:r>
      <w:r w:rsidR="00876168" w:rsidRPr="003101B1">
        <w:rPr>
          <w:lang w:val="en-GB" w:eastAsia="ro-MD"/>
        </w:rPr>
        <w:t xml:space="preserve"> </w:t>
      </w:r>
      <w:r w:rsidRPr="003101B1">
        <w:rPr>
          <w:lang w:val="en-GB" w:eastAsia="ro-MD"/>
        </w:rPr>
        <w:t>A bank shall obtain the prior approval of the National Bank of Moldova, as resolution authority, to effect call, redemption, repayment or repurchase of eligible liabilities instruments not covered by paragraph 119, prior to the date of their contractual maturity</w:t>
      </w:r>
      <w:r w:rsidR="00876168" w:rsidRPr="003101B1">
        <w:rPr>
          <w:lang w:val="en-GB" w:eastAsia="ro-MD"/>
        </w:rPr>
        <w:t>.”.</w:t>
      </w:r>
    </w:p>
    <w:p w14:paraId="52ED0BCE" w14:textId="2DB58E59" w:rsidR="000265C3" w:rsidRPr="003101B1" w:rsidRDefault="0051033A" w:rsidP="00FF2FD6">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876168" w:rsidRPr="003101B1">
        <w:rPr>
          <w:lang w:val="en-GB" w:eastAsia="ro-MD"/>
        </w:rPr>
        <w:t xml:space="preserve"> 120</w:t>
      </w:r>
      <w:r w:rsidR="000265C3" w:rsidRPr="003101B1">
        <w:rPr>
          <w:lang w:val="en-GB" w:eastAsia="ro-MD"/>
        </w:rPr>
        <w:t>:</w:t>
      </w:r>
    </w:p>
    <w:p w14:paraId="31554DA2" w14:textId="419D0493" w:rsidR="000842B5" w:rsidRPr="003101B1" w:rsidRDefault="0051033A" w:rsidP="000842B5">
      <w:pPr>
        <w:pStyle w:val="ListParagraph"/>
        <w:numPr>
          <w:ilvl w:val="2"/>
          <w:numId w:val="27"/>
        </w:numPr>
        <w:ind w:left="0" w:firstLine="567"/>
        <w:jc w:val="both"/>
        <w:rPr>
          <w:lang w:val="en-GB" w:eastAsia="ro-MD"/>
        </w:rPr>
      </w:pPr>
      <w:r w:rsidRPr="003101B1">
        <w:rPr>
          <w:lang w:val="en-GB" w:eastAsia="ro-MD"/>
        </w:rPr>
        <w:t>the introductory paragraph shall read as follows</w:t>
      </w:r>
      <w:r w:rsidR="008A6650" w:rsidRPr="003101B1">
        <w:rPr>
          <w:lang w:val="en-GB" w:eastAsia="ro-MD"/>
        </w:rPr>
        <w:t>:</w:t>
      </w:r>
    </w:p>
    <w:p w14:paraId="0AE6B4E3" w14:textId="358E7F6D" w:rsidR="00876168" w:rsidRPr="003101B1" w:rsidRDefault="0051033A" w:rsidP="009464B9">
      <w:pPr>
        <w:pStyle w:val="ListParagraph"/>
        <w:tabs>
          <w:tab w:val="left" w:pos="0"/>
        </w:tabs>
        <w:ind w:left="0"/>
        <w:jc w:val="both"/>
        <w:rPr>
          <w:lang w:val="en-GB" w:eastAsia="ro-MD"/>
        </w:rPr>
      </w:pPr>
      <w:r w:rsidRPr="003101B1">
        <w:rPr>
          <w:lang w:val="en-GB" w:eastAsia="ro-MD"/>
        </w:rPr>
        <w:t>“</w:t>
      </w:r>
      <w:r w:rsidR="000807A9" w:rsidRPr="003101B1">
        <w:rPr>
          <w:lang w:val="en-GB" w:eastAsia="ro-MD"/>
        </w:rPr>
        <w:t>The National Bank of Moldova, as the competent authority, shall grant permission to a bank to reduce, redeem, repay or repurchase Common Equity Tier 1, Additional Tier 1 or Tier 2 instruments, including by replacing them with other own funds instruments, or to reduce, distribute or reclassify the related share premium accounts, if the bank has demonstrated to the National Bank of Moldova, and the National Bank of Moldova considers, on the basis of available information, that</w:t>
      </w:r>
      <w:r w:rsidR="009464B9" w:rsidRPr="003101B1">
        <w:rPr>
          <w:lang w:val="en-GB" w:eastAsia="ro-MD"/>
        </w:rPr>
        <w:t>:</w:t>
      </w:r>
      <w:r w:rsidR="000265C3" w:rsidRPr="003101B1">
        <w:rPr>
          <w:lang w:val="en-GB" w:eastAsia="ro-MD"/>
        </w:rPr>
        <w:t>”;</w:t>
      </w:r>
    </w:p>
    <w:p w14:paraId="3BAD2212" w14:textId="10F3FF23" w:rsidR="00274BC3" w:rsidRPr="003101B1" w:rsidRDefault="000807A9" w:rsidP="00FF10CA">
      <w:pPr>
        <w:pStyle w:val="ListParagraph"/>
        <w:numPr>
          <w:ilvl w:val="2"/>
          <w:numId w:val="27"/>
        </w:numPr>
        <w:ind w:left="0" w:firstLine="567"/>
        <w:jc w:val="both"/>
        <w:rPr>
          <w:lang w:val="en-GB" w:eastAsia="ro-MD"/>
        </w:rPr>
      </w:pPr>
      <w:r w:rsidRPr="003101B1">
        <w:rPr>
          <w:lang w:val="en-GB" w:eastAsia="ro-MD"/>
        </w:rPr>
        <w:t>in the last paragraph, after the words “Tier 2 own funds</w:t>
      </w:r>
      <w:r w:rsidR="00274BC3" w:rsidRPr="003101B1">
        <w:rPr>
          <w:lang w:val="en-GB" w:eastAsia="ro-MD"/>
        </w:rPr>
        <w:t xml:space="preserve">” </w:t>
      </w:r>
      <w:r w:rsidRPr="003101B1">
        <w:rPr>
          <w:lang w:val="en-GB" w:eastAsia="ro-MD"/>
        </w:rPr>
        <w:t>shall be supplemented with the words</w:t>
      </w:r>
      <w:r w:rsidR="00274BC3" w:rsidRPr="003101B1">
        <w:rPr>
          <w:lang w:val="en-GB" w:eastAsia="ro-MD"/>
        </w:rPr>
        <w:t xml:space="preserve"> </w:t>
      </w:r>
      <w:r w:rsidRPr="003101B1">
        <w:rPr>
          <w:lang w:val="en-GB" w:eastAsia="ro-MD"/>
        </w:rPr>
        <w:t>“or the related share premium accounts</w:t>
      </w:r>
      <w:r w:rsidR="00274BC3" w:rsidRPr="003101B1">
        <w:rPr>
          <w:lang w:val="en-GB" w:eastAsia="ro-MD"/>
        </w:rPr>
        <w:t>”.</w:t>
      </w:r>
    </w:p>
    <w:p w14:paraId="4868E1DA" w14:textId="6C237CAB" w:rsidR="00274BC3" w:rsidRPr="003101B1" w:rsidRDefault="00274BC3" w:rsidP="00FF2FD6">
      <w:pPr>
        <w:pStyle w:val="ListParagraph"/>
        <w:numPr>
          <w:ilvl w:val="1"/>
          <w:numId w:val="27"/>
        </w:numPr>
        <w:spacing w:before="80"/>
        <w:ind w:left="0" w:firstLine="567"/>
        <w:contextualSpacing w:val="0"/>
        <w:jc w:val="both"/>
        <w:rPr>
          <w:lang w:val="en-GB" w:eastAsia="ro-MD"/>
        </w:rPr>
      </w:pPr>
      <w:r w:rsidRPr="003101B1">
        <w:rPr>
          <w:lang w:val="en-GB" w:eastAsia="ro-MD"/>
        </w:rPr>
        <w:t xml:space="preserve"> </w:t>
      </w:r>
      <w:r w:rsidR="000807A9" w:rsidRPr="003101B1">
        <w:rPr>
          <w:lang w:val="en-GB" w:eastAsia="ro-MD"/>
        </w:rPr>
        <w:t>Paragraph</w:t>
      </w:r>
      <w:r w:rsidRPr="003101B1">
        <w:rPr>
          <w:lang w:val="en-GB" w:eastAsia="ro-MD"/>
        </w:rPr>
        <w:t xml:space="preserve"> 120</w:t>
      </w:r>
      <w:r w:rsidRPr="003101B1">
        <w:rPr>
          <w:vertAlign w:val="superscript"/>
          <w:lang w:val="en-GB" w:eastAsia="ro-MD"/>
        </w:rPr>
        <w:t>1</w:t>
      </w:r>
      <w:r w:rsidRPr="003101B1">
        <w:rPr>
          <w:lang w:val="en-GB" w:eastAsia="ro-MD"/>
        </w:rPr>
        <w:t xml:space="preserve"> </w:t>
      </w:r>
      <w:r w:rsidR="000807A9" w:rsidRPr="003101B1">
        <w:rPr>
          <w:lang w:val="en-GB" w:eastAsia="ro-MD"/>
        </w:rPr>
        <w:t>shall be added with the following content</w:t>
      </w:r>
      <w:r w:rsidRPr="003101B1">
        <w:rPr>
          <w:lang w:val="en-GB" w:eastAsia="ro-MD"/>
        </w:rPr>
        <w:t>:</w:t>
      </w:r>
    </w:p>
    <w:p w14:paraId="40548496" w14:textId="4819794F" w:rsidR="00274BC3" w:rsidRPr="003101B1" w:rsidRDefault="000807A9" w:rsidP="00977E43">
      <w:pPr>
        <w:jc w:val="both"/>
        <w:rPr>
          <w:lang w:val="en-GB" w:eastAsia="ro-MD"/>
        </w:rPr>
      </w:pPr>
      <w:r w:rsidRPr="003101B1">
        <w:rPr>
          <w:lang w:val="en-GB" w:eastAsia="ro-MD"/>
        </w:rPr>
        <w:t>“</w:t>
      </w:r>
      <w:r w:rsidR="00274BC3" w:rsidRPr="003101B1">
        <w:rPr>
          <w:b/>
          <w:bCs/>
          <w:lang w:val="en-GB" w:eastAsia="ro-MD"/>
        </w:rPr>
        <w:t>120</w:t>
      </w:r>
      <w:r w:rsidR="00274BC3" w:rsidRPr="003101B1">
        <w:rPr>
          <w:b/>
          <w:bCs/>
          <w:vertAlign w:val="superscript"/>
          <w:lang w:val="en-GB" w:eastAsia="ro-MD"/>
        </w:rPr>
        <w:t>1</w:t>
      </w:r>
      <w:r w:rsidR="00274BC3" w:rsidRPr="003101B1">
        <w:rPr>
          <w:b/>
          <w:bCs/>
          <w:lang w:val="en-GB" w:eastAsia="ro-MD"/>
        </w:rPr>
        <w:t xml:space="preserve">. </w:t>
      </w:r>
      <w:r w:rsidR="00E05018" w:rsidRPr="003101B1">
        <w:rPr>
          <w:lang w:val="en-GB" w:eastAsia="ro-MD"/>
        </w:rPr>
        <w:t xml:space="preserve">Where the bank provides sufficient </w:t>
      </w:r>
      <w:r w:rsidR="00C92E49" w:rsidRPr="003101B1">
        <w:rPr>
          <w:lang w:val="en-GB" w:eastAsia="ro-MD"/>
        </w:rPr>
        <w:t>safeguards as to its capacity</w:t>
      </w:r>
      <w:r w:rsidR="00E05018" w:rsidRPr="003101B1">
        <w:rPr>
          <w:lang w:val="en-GB" w:eastAsia="ro-MD"/>
        </w:rPr>
        <w:t xml:space="preserve"> to operate with own funds</w:t>
      </w:r>
      <w:r w:rsidR="00C92E49" w:rsidRPr="003101B1">
        <w:rPr>
          <w:lang w:val="en-GB" w:eastAsia="ro-MD"/>
        </w:rPr>
        <w:t xml:space="preserve"> above </w:t>
      </w:r>
      <w:r w:rsidR="00E05018" w:rsidRPr="003101B1">
        <w:rPr>
          <w:lang w:val="en-GB" w:eastAsia="ro-MD"/>
        </w:rPr>
        <w:t>the amount requir</w:t>
      </w:r>
      <w:r w:rsidR="00C92E49" w:rsidRPr="003101B1">
        <w:rPr>
          <w:lang w:val="en-GB" w:eastAsia="ro-MD"/>
        </w:rPr>
        <w:t>ed</w:t>
      </w:r>
      <w:r w:rsidR="00E05018" w:rsidRPr="003101B1">
        <w:rPr>
          <w:lang w:val="en-GB" w:eastAsia="ro-MD"/>
        </w:rPr>
        <w:t xml:space="preserve"> in this Regulation, including the additional own funds requirements imposed by the National Bank of Moldova pursuant to Article 139 (5) of Law No 202/2017, as well as the combined buffer requirement laid down in Regulation No 110/2018, the National Bank of Moldova may grant to that bank a general prior permission to carry out any of the actions referred to in paragraph 119, subject to criteria ensuring that any such future action is carried out in compliance with the conditions laid down in paragraph 120</w:t>
      </w:r>
      <w:r w:rsidR="00274BC3" w:rsidRPr="003101B1">
        <w:rPr>
          <w:lang w:val="en-GB" w:eastAsia="ro-MD"/>
        </w:rPr>
        <w:t xml:space="preserve">. </w:t>
      </w:r>
      <w:r w:rsidR="00C92E49" w:rsidRPr="003101B1">
        <w:rPr>
          <w:lang w:val="en-GB" w:eastAsia="ro-MD"/>
        </w:rPr>
        <w:t>Such general prior approval shall be granted for a renewable period not exceeding one year. The general prior approval shall be granted only for a certain predetermined amount, which shall be set by the National Bank of Moldova. In the case of Common Equity Tier 1 instruments, this predetermined amount shall not exceed 3 % of the relevant issue and shall not exceed 10 % of the amount by which Common Equity Tier 1 capital exceeds the sum of the Common Equity Tier 1 capital requirements laid down in this Regulation and the additional own funds requirements imposed by the National Bank of Moldova pursuant to Article 139 (5) of Law No 202/2017, as well as the combined buffer requirement laid down in Regulation No 110/2018</w:t>
      </w:r>
      <w:r w:rsidR="00274BC3" w:rsidRPr="003101B1">
        <w:rPr>
          <w:lang w:val="en-GB" w:eastAsia="ro-MD"/>
        </w:rPr>
        <w:t xml:space="preserve">. </w:t>
      </w:r>
      <w:r w:rsidR="00C92E49" w:rsidRPr="003101B1">
        <w:rPr>
          <w:lang w:val="en-GB" w:eastAsia="ro-MD"/>
        </w:rPr>
        <w:t>In the case of Additional Tier 1 or Tier 2 instruments, that predetermined amount shall not exceed 10 % of the relevant issue and shall not exceed 3 % of the total amount of outstanding Additional Tier 1 or Tier 2 instruments, as applicable</w:t>
      </w:r>
      <w:r w:rsidR="00274BC3" w:rsidRPr="003101B1">
        <w:rPr>
          <w:lang w:val="en-GB" w:eastAsia="ro-MD"/>
        </w:rPr>
        <w:t>.</w:t>
      </w:r>
    </w:p>
    <w:p w14:paraId="146D69C0" w14:textId="4D4DCAC4" w:rsidR="00274BC3" w:rsidRPr="003101B1" w:rsidRDefault="000807A9" w:rsidP="004741E1">
      <w:pPr>
        <w:ind w:firstLine="567"/>
        <w:jc w:val="both"/>
        <w:rPr>
          <w:lang w:val="en-GB" w:eastAsia="ro-MD"/>
        </w:rPr>
      </w:pPr>
      <w:r w:rsidRPr="003101B1">
        <w:rPr>
          <w:lang w:val="en-GB" w:eastAsia="ro-MD"/>
        </w:rPr>
        <w:t>The National Bank of Moldova, as the competent authority, shall withdraw the general prior approval if the bank breaches any of the criteria provided for the purposes of that approval</w:t>
      </w:r>
      <w:r w:rsidR="00274BC3" w:rsidRPr="003101B1">
        <w:rPr>
          <w:lang w:val="en-GB" w:eastAsia="ro-MD"/>
        </w:rPr>
        <w:t>.”.</w:t>
      </w:r>
    </w:p>
    <w:p w14:paraId="7AC65AB3" w14:textId="0FE4BAEA" w:rsidR="00274BC3" w:rsidRPr="003101B1" w:rsidRDefault="00C92E49" w:rsidP="00D12B88">
      <w:pPr>
        <w:pStyle w:val="ListParagraph"/>
        <w:numPr>
          <w:ilvl w:val="1"/>
          <w:numId w:val="27"/>
        </w:numPr>
        <w:spacing w:before="80"/>
        <w:ind w:left="0" w:firstLine="568"/>
        <w:contextualSpacing w:val="0"/>
        <w:jc w:val="both"/>
        <w:rPr>
          <w:lang w:val="en-GB" w:eastAsia="ro-MD"/>
        </w:rPr>
      </w:pPr>
      <w:r w:rsidRPr="003101B1">
        <w:rPr>
          <w:lang w:val="en-GB" w:eastAsia="ro-MD"/>
        </w:rPr>
        <w:t>In paragraph</w:t>
      </w:r>
      <w:r w:rsidR="002C3979" w:rsidRPr="003101B1">
        <w:rPr>
          <w:lang w:val="en-GB" w:eastAsia="ro-MD"/>
        </w:rPr>
        <w:t xml:space="preserve"> 121</w:t>
      </w:r>
      <w:r w:rsidR="00225FB7" w:rsidRPr="003101B1">
        <w:rPr>
          <w:lang w:val="en-GB" w:eastAsia="ro-MD"/>
        </w:rPr>
        <w:t>,</w:t>
      </w:r>
      <w:r w:rsidR="002C3979" w:rsidRPr="003101B1">
        <w:rPr>
          <w:lang w:val="en-GB" w:eastAsia="ro-MD"/>
        </w:rPr>
        <w:t xml:space="preserve"> </w:t>
      </w:r>
      <w:r w:rsidRPr="003101B1">
        <w:rPr>
          <w:lang w:val="en-GB" w:eastAsia="ro-MD"/>
        </w:rPr>
        <w:t xml:space="preserve">the </w:t>
      </w:r>
      <w:r w:rsidR="00A245F8" w:rsidRPr="003101B1">
        <w:rPr>
          <w:lang w:val="en-GB" w:eastAsia="ro-MD"/>
        </w:rPr>
        <w:t>text</w:t>
      </w:r>
      <w:r w:rsidR="002C3979" w:rsidRPr="003101B1">
        <w:rPr>
          <w:lang w:val="en-GB" w:eastAsia="ro-MD"/>
        </w:rPr>
        <w:t xml:space="preserve"> </w:t>
      </w:r>
      <w:r w:rsidR="00A245F8" w:rsidRPr="003101B1">
        <w:rPr>
          <w:lang w:val="en-GB" w:eastAsia="ro-MD"/>
        </w:rPr>
        <w:t>“</w:t>
      </w:r>
      <w:r w:rsidR="00827052" w:rsidRPr="003101B1">
        <w:rPr>
          <w:lang w:val="en-GB"/>
        </w:rPr>
        <w:t>instruments mentioned in paragraph 120 have been replaced</w:t>
      </w:r>
      <w:r w:rsidR="002C3979" w:rsidRPr="003101B1">
        <w:rPr>
          <w:lang w:val="en-GB" w:eastAsia="ro-MD"/>
        </w:rPr>
        <w:t xml:space="preserve">” </w:t>
      </w:r>
      <w:r w:rsidR="00827052" w:rsidRPr="003101B1">
        <w:rPr>
          <w:lang w:val="en-GB" w:eastAsia="ro-MD"/>
        </w:rPr>
        <w:t>shall be changed and supplemented as follows</w:t>
      </w:r>
      <w:r w:rsidR="002C3979" w:rsidRPr="003101B1">
        <w:rPr>
          <w:lang w:val="en-GB" w:eastAsia="ro-MD"/>
        </w:rPr>
        <w:t xml:space="preserve"> </w:t>
      </w:r>
      <w:r w:rsidR="00827052" w:rsidRPr="003101B1">
        <w:rPr>
          <w:lang w:val="en-GB" w:eastAsia="ro-MD"/>
        </w:rPr>
        <w:t>“the replacement of the instruments or the related share premium accounts</w:t>
      </w:r>
      <w:r w:rsidR="002C3979" w:rsidRPr="003101B1">
        <w:rPr>
          <w:lang w:val="en-GB" w:eastAsia="ro-MD"/>
        </w:rPr>
        <w:t>”.</w:t>
      </w:r>
    </w:p>
    <w:p w14:paraId="09B2DB9D" w14:textId="549101F5" w:rsidR="00AF4C41" w:rsidRPr="003101B1" w:rsidRDefault="00827052" w:rsidP="00D12B88">
      <w:pPr>
        <w:pStyle w:val="ListParagraph"/>
        <w:numPr>
          <w:ilvl w:val="1"/>
          <w:numId w:val="27"/>
        </w:numPr>
        <w:spacing w:before="80"/>
        <w:ind w:left="0" w:firstLine="568"/>
        <w:contextualSpacing w:val="0"/>
        <w:jc w:val="both"/>
        <w:rPr>
          <w:lang w:val="en-GB" w:eastAsia="ro-MD"/>
        </w:rPr>
      </w:pPr>
      <w:r w:rsidRPr="003101B1">
        <w:rPr>
          <w:lang w:val="en-GB" w:eastAsia="ro-MD"/>
        </w:rPr>
        <w:t>In paragraphs</w:t>
      </w:r>
      <w:r w:rsidR="001139FC" w:rsidRPr="003101B1">
        <w:rPr>
          <w:lang w:val="en-GB" w:eastAsia="ro-MD"/>
        </w:rPr>
        <w:t xml:space="preserve"> 122, 123</w:t>
      </w:r>
      <w:r w:rsidR="00225FB7" w:rsidRPr="003101B1">
        <w:rPr>
          <w:lang w:val="en-GB" w:eastAsia="ro-MD"/>
        </w:rPr>
        <w:t>,</w:t>
      </w:r>
      <w:r w:rsidR="001139FC" w:rsidRPr="003101B1">
        <w:rPr>
          <w:lang w:val="en-GB" w:eastAsia="ro-MD"/>
        </w:rPr>
        <w:t xml:space="preserve"> </w:t>
      </w:r>
      <w:r w:rsidRPr="003101B1">
        <w:rPr>
          <w:lang w:val="en-GB" w:eastAsia="ro-MD"/>
        </w:rPr>
        <w:t>the words in the introductory paragraph “National Bank of Moldova</w:t>
      </w:r>
      <w:r w:rsidR="001139FC" w:rsidRPr="003101B1">
        <w:rPr>
          <w:lang w:val="en-GB" w:eastAsia="ro-MD"/>
        </w:rPr>
        <w:t xml:space="preserve">” </w:t>
      </w:r>
      <w:r w:rsidRPr="003101B1">
        <w:rPr>
          <w:lang w:val="en-GB" w:eastAsia="ro-MD"/>
        </w:rPr>
        <w:t>shall be supplemented with the text</w:t>
      </w:r>
      <w:r w:rsidR="001139FC" w:rsidRPr="003101B1">
        <w:rPr>
          <w:lang w:val="en-GB" w:eastAsia="ro-MD"/>
        </w:rPr>
        <w:t xml:space="preserve"> </w:t>
      </w:r>
      <w:r w:rsidRPr="003101B1">
        <w:rPr>
          <w:lang w:val="en-GB" w:eastAsia="ro-MD"/>
        </w:rPr>
        <w:t>“</w:t>
      </w:r>
      <w:r w:rsidR="001139FC" w:rsidRPr="003101B1">
        <w:rPr>
          <w:lang w:val="en-GB" w:eastAsia="ro-MD"/>
        </w:rPr>
        <w:t xml:space="preserve">, </w:t>
      </w:r>
      <w:r w:rsidRPr="003101B1">
        <w:rPr>
          <w:lang w:val="en-GB" w:eastAsia="ro-MD"/>
        </w:rPr>
        <w:t>as competent authority</w:t>
      </w:r>
      <w:r w:rsidR="001139FC" w:rsidRPr="003101B1">
        <w:rPr>
          <w:lang w:val="en-GB" w:eastAsia="ro-MD"/>
        </w:rPr>
        <w:t>,”.</w:t>
      </w:r>
    </w:p>
    <w:p w14:paraId="4569205D" w14:textId="35D63435" w:rsidR="002C3979" w:rsidRPr="003101B1" w:rsidRDefault="00827052" w:rsidP="00D12B88">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2C3979" w:rsidRPr="003101B1">
        <w:rPr>
          <w:lang w:val="en-GB" w:eastAsia="ro-MD"/>
        </w:rPr>
        <w:t xml:space="preserve"> 123:</w:t>
      </w:r>
    </w:p>
    <w:p w14:paraId="579C88A7" w14:textId="2761B04F" w:rsidR="00FE7ED8" w:rsidRPr="003101B1" w:rsidRDefault="007D53B2" w:rsidP="00FF10CA">
      <w:pPr>
        <w:pStyle w:val="ListParagraph"/>
        <w:numPr>
          <w:ilvl w:val="2"/>
          <w:numId w:val="27"/>
        </w:numPr>
        <w:ind w:left="0" w:firstLine="567"/>
        <w:jc w:val="both"/>
        <w:rPr>
          <w:lang w:val="en-GB" w:eastAsia="ro-MD"/>
        </w:rPr>
      </w:pPr>
      <w:r w:rsidRPr="003101B1">
        <w:rPr>
          <w:lang w:val="en-GB" w:eastAsia="ro-MD"/>
        </w:rPr>
        <w:t>the introductory paragraph shall read as follows</w:t>
      </w:r>
      <w:r w:rsidR="002C3979" w:rsidRPr="003101B1">
        <w:rPr>
          <w:lang w:val="en-GB" w:eastAsia="ro-MD"/>
        </w:rPr>
        <w:t>:</w:t>
      </w:r>
    </w:p>
    <w:p w14:paraId="19E3D34B" w14:textId="056DC880" w:rsidR="002C3979" w:rsidRPr="003101B1" w:rsidRDefault="007D53B2" w:rsidP="005424AA">
      <w:pPr>
        <w:jc w:val="both"/>
        <w:rPr>
          <w:lang w:val="en-GB" w:eastAsia="ro-MD"/>
        </w:rPr>
      </w:pPr>
      <w:r w:rsidRPr="003101B1">
        <w:rPr>
          <w:lang w:val="en-GB" w:eastAsia="ro-MD"/>
        </w:rPr>
        <w:t>“The National Bank of Moldova may permit banks to call, redeem, repay or repurchase Additional Tier 1 or Tier 2 instruments or related share premium accounts for five years from the date of issuance only where the conditions set out in paragraph 120 and one of the conditions specified below are met</w:t>
      </w:r>
      <w:r w:rsidR="002C3979" w:rsidRPr="003101B1">
        <w:rPr>
          <w:lang w:val="en-GB" w:eastAsia="ro-MD"/>
        </w:rPr>
        <w:t>:”;</w:t>
      </w:r>
    </w:p>
    <w:p w14:paraId="4A7DBD3A" w14:textId="4A1ED08A" w:rsidR="002C3979" w:rsidRPr="003101B1" w:rsidRDefault="007D53B2" w:rsidP="00FF10CA">
      <w:pPr>
        <w:pStyle w:val="ListParagraph"/>
        <w:numPr>
          <w:ilvl w:val="2"/>
          <w:numId w:val="27"/>
        </w:numPr>
        <w:ind w:left="0" w:firstLine="567"/>
        <w:jc w:val="both"/>
        <w:rPr>
          <w:lang w:val="en-GB" w:eastAsia="ro-MD"/>
        </w:rPr>
      </w:pPr>
      <w:r w:rsidRPr="003101B1">
        <w:rPr>
          <w:lang w:val="en-GB" w:eastAsia="ro-MD"/>
        </w:rPr>
        <w:t>sub-paragraphs</w:t>
      </w:r>
      <w:r w:rsidR="002C3979" w:rsidRPr="003101B1">
        <w:rPr>
          <w:lang w:val="en-GB" w:eastAsia="ro-MD"/>
        </w:rPr>
        <w:t xml:space="preserve"> 3) </w:t>
      </w:r>
      <w:r w:rsidRPr="003101B1">
        <w:rPr>
          <w:lang w:val="en-GB" w:eastAsia="ro-MD"/>
        </w:rPr>
        <w:t>and</w:t>
      </w:r>
      <w:r w:rsidR="002C3979" w:rsidRPr="003101B1">
        <w:rPr>
          <w:lang w:val="en-GB" w:eastAsia="ro-MD"/>
        </w:rPr>
        <w:t xml:space="preserve"> 4) </w:t>
      </w:r>
      <w:r w:rsidRPr="003101B1">
        <w:rPr>
          <w:lang w:val="en-GB" w:eastAsia="ro-MD"/>
        </w:rPr>
        <w:t>shall be added, reading as follows</w:t>
      </w:r>
      <w:r w:rsidR="002C3979" w:rsidRPr="003101B1">
        <w:rPr>
          <w:lang w:val="en-GB" w:eastAsia="ro-MD"/>
        </w:rPr>
        <w:t>:</w:t>
      </w:r>
    </w:p>
    <w:p w14:paraId="00FCDC33" w14:textId="7A63C2A2" w:rsidR="002C3979" w:rsidRPr="003101B1" w:rsidRDefault="007D53B2" w:rsidP="005424AA">
      <w:pPr>
        <w:jc w:val="both"/>
        <w:rPr>
          <w:lang w:val="en-GB" w:eastAsia="ro-MD"/>
        </w:rPr>
      </w:pPr>
      <w:r w:rsidRPr="003101B1">
        <w:rPr>
          <w:lang w:val="en-GB" w:eastAsia="ro-MD"/>
        </w:rPr>
        <w:t>“</w:t>
      </w:r>
      <w:r w:rsidR="002C3979" w:rsidRPr="003101B1">
        <w:rPr>
          <w:lang w:val="en-GB" w:eastAsia="ro-MD"/>
        </w:rPr>
        <w:t xml:space="preserve">3) </w:t>
      </w:r>
      <w:r w:rsidRPr="003101B1">
        <w:rPr>
          <w:lang w:val="en-GB" w:eastAsia="ro-MD"/>
        </w:rPr>
        <w:t>prior to or at the same time as the action referred to in paragraph 119, the Bank shall replace the instruments or the related share premium accounts with own funds instruments of equal or higher quality at terms that are sustainable for the income capacity of the bank, and the National Bank of Moldova approved that action as it considered it beneficial from a prudential point of view and justified by exceptional circumstances</w:t>
      </w:r>
      <w:r w:rsidR="002C3979" w:rsidRPr="003101B1">
        <w:rPr>
          <w:lang w:val="en-GB" w:eastAsia="ro-MD"/>
        </w:rPr>
        <w:t xml:space="preserve">; </w:t>
      </w:r>
    </w:p>
    <w:p w14:paraId="2A503572" w14:textId="20FC3F86" w:rsidR="002C3979" w:rsidRPr="003101B1" w:rsidRDefault="002C3979" w:rsidP="002C3979">
      <w:pPr>
        <w:jc w:val="both"/>
        <w:rPr>
          <w:lang w:val="en-GB" w:eastAsia="ro-MD"/>
        </w:rPr>
      </w:pPr>
      <w:r w:rsidRPr="003101B1">
        <w:rPr>
          <w:lang w:val="en-GB" w:eastAsia="ro-MD"/>
        </w:rPr>
        <w:t xml:space="preserve">4) </w:t>
      </w:r>
      <w:r w:rsidR="008B0B54" w:rsidRPr="003101B1">
        <w:rPr>
          <w:lang w:val="en-GB" w:eastAsia="ro-MD"/>
        </w:rPr>
        <w:t>the Additional Tier 1 or Tier 2 instruments are repurchased for market making purposes</w:t>
      </w:r>
      <w:r w:rsidRPr="003101B1">
        <w:rPr>
          <w:lang w:val="en-GB" w:eastAsia="ro-MD"/>
        </w:rPr>
        <w:t>.”.</w:t>
      </w:r>
    </w:p>
    <w:p w14:paraId="091CA4CA" w14:textId="167E91B6" w:rsidR="00C936FF" w:rsidRPr="003101B1" w:rsidRDefault="008B0B54" w:rsidP="00C936FF">
      <w:pPr>
        <w:pStyle w:val="ListParagraph"/>
        <w:numPr>
          <w:ilvl w:val="1"/>
          <w:numId w:val="27"/>
        </w:numPr>
        <w:spacing w:before="80"/>
        <w:ind w:left="0" w:firstLine="567"/>
        <w:jc w:val="both"/>
        <w:rPr>
          <w:lang w:val="en-GB" w:eastAsia="ro-MD"/>
        </w:rPr>
      </w:pPr>
      <w:r w:rsidRPr="003101B1">
        <w:rPr>
          <w:lang w:val="en-GB" w:eastAsia="ro-MD"/>
        </w:rPr>
        <w:t>In paragraph 125, after the words “prior approval”, the words “/general prior approval” shall be added</w:t>
      </w:r>
      <w:r w:rsidR="00C936FF" w:rsidRPr="003101B1">
        <w:rPr>
          <w:lang w:val="en-GB" w:eastAsia="ro-MD"/>
        </w:rPr>
        <w:t>.</w:t>
      </w:r>
    </w:p>
    <w:p w14:paraId="4010E472" w14:textId="732C47C3" w:rsidR="002C3979" w:rsidRPr="003101B1" w:rsidRDefault="003D0BC2" w:rsidP="00C936FF">
      <w:pPr>
        <w:pStyle w:val="ListParagraph"/>
        <w:numPr>
          <w:ilvl w:val="1"/>
          <w:numId w:val="27"/>
        </w:numPr>
        <w:spacing w:before="80"/>
        <w:ind w:left="0" w:firstLine="567"/>
        <w:contextualSpacing w:val="0"/>
        <w:jc w:val="both"/>
        <w:rPr>
          <w:lang w:val="en-GB" w:eastAsia="ro-MD"/>
        </w:rPr>
      </w:pPr>
      <w:r w:rsidRPr="003101B1">
        <w:rPr>
          <w:lang w:val="en-GB" w:eastAsia="ro-MD"/>
        </w:rPr>
        <w:t>C</w:t>
      </w:r>
      <w:r w:rsidR="008B0B54" w:rsidRPr="003101B1">
        <w:rPr>
          <w:lang w:val="en-GB" w:eastAsia="ro-MD"/>
        </w:rPr>
        <w:t>hapter</w:t>
      </w:r>
      <w:r w:rsidRPr="003101B1">
        <w:rPr>
          <w:lang w:val="en-GB" w:eastAsia="ro-MD"/>
        </w:rPr>
        <w:t xml:space="preserve"> VI </w:t>
      </w:r>
      <w:r w:rsidR="008B0B54" w:rsidRPr="003101B1">
        <w:rPr>
          <w:lang w:val="en-GB" w:eastAsia="ro-MD"/>
        </w:rPr>
        <w:t>shall be supplemented with Section</w:t>
      </w:r>
      <w:r w:rsidRPr="003101B1">
        <w:rPr>
          <w:lang w:val="en-GB" w:eastAsia="ro-MD"/>
        </w:rPr>
        <w:t xml:space="preserve"> </w:t>
      </w:r>
      <w:r w:rsidR="002C3979" w:rsidRPr="003101B1">
        <w:rPr>
          <w:lang w:val="en-GB" w:eastAsia="ro-MD"/>
        </w:rPr>
        <w:t>3</w:t>
      </w:r>
      <w:r w:rsidR="002C3979" w:rsidRPr="003101B1">
        <w:rPr>
          <w:vertAlign w:val="superscript"/>
          <w:lang w:val="en-GB" w:eastAsia="ro-MD"/>
        </w:rPr>
        <w:t>1</w:t>
      </w:r>
      <w:r w:rsidR="002C3979" w:rsidRPr="003101B1">
        <w:rPr>
          <w:lang w:val="en-GB" w:eastAsia="ro-MD"/>
        </w:rPr>
        <w:t xml:space="preserve"> </w:t>
      </w:r>
      <w:r w:rsidR="008B0B54" w:rsidRPr="003101B1">
        <w:rPr>
          <w:lang w:val="en-GB" w:eastAsia="ro-MD"/>
        </w:rPr>
        <w:t>reading as follows</w:t>
      </w:r>
      <w:r w:rsidR="002C3979" w:rsidRPr="003101B1">
        <w:rPr>
          <w:lang w:val="en-GB" w:eastAsia="ro-MD"/>
        </w:rPr>
        <w:t>:</w:t>
      </w:r>
    </w:p>
    <w:p w14:paraId="1E7A7D5F" w14:textId="3BF1CAFD" w:rsidR="002C3979" w:rsidRPr="003101B1" w:rsidRDefault="008B0B54" w:rsidP="002C3979">
      <w:pPr>
        <w:ind w:firstLine="567"/>
        <w:jc w:val="center"/>
        <w:rPr>
          <w:b/>
          <w:bCs/>
          <w:i/>
          <w:iCs/>
          <w:lang w:val="en-GB" w:eastAsia="ro-MD"/>
        </w:rPr>
      </w:pPr>
      <w:r w:rsidRPr="003101B1">
        <w:rPr>
          <w:lang w:val="en-GB" w:eastAsia="ro-MD"/>
        </w:rPr>
        <w:t>“</w:t>
      </w:r>
      <w:r w:rsidR="002C3979" w:rsidRPr="003101B1">
        <w:rPr>
          <w:b/>
          <w:bCs/>
          <w:i/>
          <w:iCs/>
          <w:lang w:val="en-GB" w:eastAsia="ro-MD"/>
        </w:rPr>
        <w:t>Sec</w:t>
      </w:r>
      <w:r w:rsidRPr="003101B1">
        <w:rPr>
          <w:b/>
          <w:bCs/>
          <w:i/>
          <w:iCs/>
          <w:lang w:val="en-GB" w:eastAsia="ro-MD"/>
        </w:rPr>
        <w:t>tion</w:t>
      </w:r>
      <w:r w:rsidR="002C3979" w:rsidRPr="003101B1">
        <w:rPr>
          <w:lang w:val="en-GB" w:eastAsia="ro-MD"/>
        </w:rPr>
        <w:t xml:space="preserve"> </w:t>
      </w:r>
      <w:r w:rsidR="002C3979" w:rsidRPr="003101B1">
        <w:rPr>
          <w:b/>
          <w:bCs/>
          <w:i/>
          <w:iCs/>
          <w:lang w:val="en-GB" w:eastAsia="ro-MD"/>
        </w:rPr>
        <w:t>3</w:t>
      </w:r>
      <w:r w:rsidR="002C3979" w:rsidRPr="003101B1">
        <w:rPr>
          <w:b/>
          <w:bCs/>
          <w:i/>
          <w:iCs/>
          <w:vertAlign w:val="superscript"/>
          <w:lang w:val="en-GB" w:eastAsia="ro-MD"/>
        </w:rPr>
        <w:t>1</w:t>
      </w:r>
    </w:p>
    <w:p w14:paraId="5C286BCB" w14:textId="0FAFCC4B" w:rsidR="002C3979" w:rsidRPr="003101B1" w:rsidRDefault="008B0B54" w:rsidP="002C3979">
      <w:pPr>
        <w:ind w:firstLine="567"/>
        <w:jc w:val="center"/>
        <w:rPr>
          <w:lang w:val="en-GB" w:eastAsia="ro-MD"/>
        </w:rPr>
      </w:pPr>
      <w:r w:rsidRPr="003101B1">
        <w:rPr>
          <w:b/>
          <w:bCs/>
          <w:i/>
          <w:iCs/>
          <w:lang w:val="en-GB" w:eastAsia="ro-MD"/>
        </w:rPr>
        <w:t>Permission to reduce eligible liabilities instruments</w:t>
      </w:r>
    </w:p>
    <w:p w14:paraId="70020712" w14:textId="56A9435F" w:rsidR="002C3979" w:rsidRPr="003101B1" w:rsidRDefault="002C3979" w:rsidP="00524936">
      <w:pPr>
        <w:jc w:val="both"/>
        <w:rPr>
          <w:lang w:val="en-GB" w:eastAsia="ro-MD"/>
        </w:rPr>
      </w:pPr>
      <w:r w:rsidRPr="003101B1">
        <w:rPr>
          <w:b/>
          <w:bCs/>
          <w:lang w:val="en-GB" w:eastAsia="ro-MD"/>
        </w:rPr>
        <w:t>125</w:t>
      </w:r>
      <w:r w:rsidRPr="003101B1">
        <w:rPr>
          <w:b/>
          <w:bCs/>
          <w:vertAlign w:val="superscript"/>
          <w:lang w:val="en-GB" w:eastAsia="ro-MD"/>
        </w:rPr>
        <w:t>1</w:t>
      </w:r>
      <w:r w:rsidRPr="003101B1">
        <w:rPr>
          <w:b/>
          <w:bCs/>
          <w:lang w:val="en-GB" w:eastAsia="ro-MD"/>
        </w:rPr>
        <w:t>.</w:t>
      </w:r>
      <w:r w:rsidRPr="003101B1">
        <w:rPr>
          <w:lang w:val="en-GB" w:eastAsia="ro-MD"/>
        </w:rPr>
        <w:t xml:space="preserve"> </w:t>
      </w:r>
      <w:r w:rsidR="000954C3" w:rsidRPr="003101B1">
        <w:rPr>
          <w:lang w:val="en-GB" w:eastAsia="ro-MD"/>
        </w:rPr>
        <w:t>The National Bank of Moldova as resolution authority shall grant permission to a bank to call, redeem, repay or repurchase eligible liabilities instruments if one of the following conditions is met</w:t>
      </w:r>
      <w:r w:rsidRPr="003101B1">
        <w:rPr>
          <w:lang w:val="en-GB" w:eastAsia="ro-MD"/>
        </w:rPr>
        <w:t>:</w:t>
      </w:r>
    </w:p>
    <w:p w14:paraId="18D64370" w14:textId="22B05696" w:rsidR="002C3979" w:rsidRPr="003101B1" w:rsidRDefault="002C3979" w:rsidP="00524936">
      <w:pPr>
        <w:jc w:val="both"/>
        <w:rPr>
          <w:lang w:val="en-GB" w:eastAsia="ro-MD"/>
        </w:rPr>
      </w:pPr>
      <w:r w:rsidRPr="003101B1">
        <w:rPr>
          <w:lang w:val="en-GB" w:eastAsia="ro-MD"/>
        </w:rPr>
        <w:t xml:space="preserve">1) </w:t>
      </w:r>
      <w:r w:rsidR="000954C3" w:rsidRPr="003101B1">
        <w:rPr>
          <w:lang w:val="en-GB" w:eastAsia="ro-MD"/>
        </w:rPr>
        <w:t xml:space="preserve">prior to or at the same time as any of the actions referred to in paragraph </w:t>
      </w:r>
      <w:r w:rsidRPr="003101B1">
        <w:rPr>
          <w:lang w:val="en-GB" w:eastAsia="ro-MD"/>
        </w:rPr>
        <w:t>119</w:t>
      </w:r>
      <w:r w:rsidRPr="003101B1">
        <w:rPr>
          <w:vertAlign w:val="superscript"/>
          <w:lang w:val="en-GB" w:eastAsia="ro-MD"/>
        </w:rPr>
        <w:t>1</w:t>
      </w:r>
      <w:r w:rsidRPr="003101B1">
        <w:rPr>
          <w:lang w:val="en-GB" w:eastAsia="ro-MD"/>
        </w:rPr>
        <w:t xml:space="preserve">, </w:t>
      </w:r>
      <w:r w:rsidR="008F7553" w:rsidRPr="003101B1">
        <w:rPr>
          <w:lang w:val="en-GB" w:eastAsia="ro-MD"/>
        </w:rPr>
        <w:t>the bank shall replace the eligible liabilities instruments with own funds or eligible liabilities instruments of equal or higher quality at terms that are sustainable for the income capacity of the bank</w:t>
      </w:r>
      <w:r w:rsidRPr="003101B1">
        <w:rPr>
          <w:lang w:val="en-GB" w:eastAsia="ro-MD"/>
        </w:rPr>
        <w:t>;</w:t>
      </w:r>
    </w:p>
    <w:p w14:paraId="6EE5E9F0" w14:textId="6A817D33" w:rsidR="002C3979" w:rsidRPr="003101B1" w:rsidRDefault="002C3979" w:rsidP="00524936">
      <w:pPr>
        <w:jc w:val="both"/>
        <w:rPr>
          <w:lang w:val="en-GB" w:eastAsia="ro-MD"/>
        </w:rPr>
      </w:pPr>
      <w:r w:rsidRPr="003101B1">
        <w:rPr>
          <w:lang w:val="en-GB" w:eastAsia="ro-MD"/>
        </w:rPr>
        <w:t xml:space="preserve">2) </w:t>
      </w:r>
      <w:r w:rsidR="008F7553" w:rsidRPr="003101B1">
        <w:rPr>
          <w:lang w:val="en-GB" w:eastAsia="ro-MD"/>
        </w:rPr>
        <w:t xml:space="preserve">the bank has demonstrated to the satisfaction of the National Bank of Moldova, as resolution authority, that following the action referred to in paragraph </w:t>
      </w:r>
      <w:r w:rsidRPr="003101B1">
        <w:rPr>
          <w:lang w:val="en-GB" w:eastAsia="ro-MD"/>
        </w:rPr>
        <w:t>119</w:t>
      </w:r>
      <w:r w:rsidRPr="003101B1">
        <w:rPr>
          <w:vertAlign w:val="superscript"/>
          <w:lang w:val="en-GB" w:eastAsia="ro-MD"/>
        </w:rPr>
        <w:t>1</w:t>
      </w:r>
      <w:r w:rsidRPr="003101B1">
        <w:rPr>
          <w:lang w:val="en-GB" w:eastAsia="ro-MD"/>
        </w:rPr>
        <w:t xml:space="preserve">, </w:t>
      </w:r>
      <w:r w:rsidR="008F7553" w:rsidRPr="003101B1">
        <w:rPr>
          <w:lang w:val="en-GB" w:eastAsia="ro-MD"/>
        </w:rPr>
        <w:t>the own funds and eligible liabilities of the bank would exceed the requirements for own funds and eligible liabilities laid down in this Regulation and Law No 232/2016 by the margin that the National Bank of Moldova, as resolution authority, in accordance with the structure exercising the supervisory function, deems necessary</w:t>
      </w:r>
      <w:r w:rsidRPr="003101B1">
        <w:rPr>
          <w:lang w:val="en-GB" w:eastAsia="ro-MD"/>
        </w:rPr>
        <w:t>;</w:t>
      </w:r>
    </w:p>
    <w:p w14:paraId="054C9C9E" w14:textId="32FB5421" w:rsidR="002C3979" w:rsidRPr="003101B1" w:rsidRDefault="002C3979" w:rsidP="00524936">
      <w:pPr>
        <w:jc w:val="both"/>
        <w:rPr>
          <w:lang w:val="en-GB" w:eastAsia="ro-MD"/>
        </w:rPr>
      </w:pPr>
      <w:r w:rsidRPr="003101B1">
        <w:rPr>
          <w:lang w:val="en-GB" w:eastAsia="ro-MD"/>
        </w:rPr>
        <w:t xml:space="preserve">3) </w:t>
      </w:r>
      <w:r w:rsidR="008F7553" w:rsidRPr="003101B1">
        <w:rPr>
          <w:lang w:val="en-GB" w:eastAsia="ro-MD"/>
        </w:rPr>
        <w:t>the bank has demonstrated to the satisfaction of the National Bank of Moldova, as resolution authority, that the partial or full replacement of eligible liabilities with own funds instruments is necessary to ensure compliance with the own funds requirements laid down in this Regulation and Law No 202/2017</w:t>
      </w:r>
      <w:r w:rsidRPr="003101B1">
        <w:rPr>
          <w:lang w:val="en-GB" w:eastAsia="ro-MD"/>
        </w:rPr>
        <w:t>.</w:t>
      </w:r>
      <w:r w:rsidRPr="003101B1">
        <w:rPr>
          <w:sz w:val="18"/>
          <w:szCs w:val="18"/>
          <w:highlight w:val="lightGray"/>
          <w:lang w:val="en-GB" w:eastAsia="ro-MD"/>
        </w:rPr>
        <w:t xml:space="preserve"> </w:t>
      </w:r>
    </w:p>
    <w:p w14:paraId="672119C3" w14:textId="106CD4A8" w:rsidR="002C3979" w:rsidRPr="003101B1" w:rsidRDefault="002C3979" w:rsidP="00524936">
      <w:pPr>
        <w:jc w:val="both"/>
        <w:rPr>
          <w:lang w:val="en-GB" w:eastAsia="ro-MD"/>
        </w:rPr>
      </w:pPr>
      <w:r w:rsidRPr="003101B1">
        <w:rPr>
          <w:b/>
          <w:bCs/>
          <w:lang w:val="en-GB" w:eastAsia="ro-MD"/>
        </w:rPr>
        <w:t>125</w:t>
      </w:r>
      <w:r w:rsidRPr="003101B1">
        <w:rPr>
          <w:b/>
          <w:bCs/>
          <w:vertAlign w:val="superscript"/>
          <w:lang w:val="en-GB" w:eastAsia="ro-MD"/>
        </w:rPr>
        <w:t>2</w:t>
      </w:r>
      <w:r w:rsidRPr="003101B1">
        <w:rPr>
          <w:b/>
          <w:bCs/>
          <w:lang w:val="en-GB" w:eastAsia="ro-MD"/>
        </w:rPr>
        <w:t xml:space="preserve">. </w:t>
      </w:r>
      <w:r w:rsidR="008F7553" w:rsidRPr="003101B1">
        <w:rPr>
          <w:lang w:val="en-GB" w:eastAsia="ro-MD"/>
        </w:rPr>
        <w:t xml:space="preserve">Where a bank provides sufficient guarantees as to its capacity to operate with own funds and eligible liabilities the amount of which exceeds the requirements set out in this Regulation and in Law No 202/2017 and Law No 232/2016, the National Bank of Moldova, as resolution authority, after consultation with the structure exercising the supervisory function, may grant that bank a general prior permission to exercise call options or to redeem or repay eligible liabilities instruments, subject to criteria that ensure that any such future action is carried out in compliance with the conditions set out in paragraphs </w:t>
      </w:r>
      <w:r w:rsidRPr="003101B1">
        <w:rPr>
          <w:lang w:val="en-GB" w:eastAsia="ro-MD"/>
        </w:rPr>
        <w:t>125</w:t>
      </w:r>
      <w:r w:rsidRPr="003101B1">
        <w:rPr>
          <w:vertAlign w:val="superscript"/>
          <w:lang w:val="en-GB" w:eastAsia="ro-MD"/>
        </w:rPr>
        <w:t>1</w:t>
      </w:r>
      <w:r w:rsidRPr="003101B1">
        <w:rPr>
          <w:lang w:val="en-GB" w:eastAsia="ro-MD"/>
        </w:rPr>
        <w:t xml:space="preserve"> </w:t>
      </w:r>
      <w:r w:rsidR="008F7553" w:rsidRPr="003101B1">
        <w:rPr>
          <w:lang w:val="en-GB" w:eastAsia="ro-MD"/>
        </w:rPr>
        <w:t>sub-paragraph</w:t>
      </w:r>
      <w:r w:rsidRPr="003101B1">
        <w:rPr>
          <w:lang w:val="en-GB" w:eastAsia="ro-MD"/>
        </w:rPr>
        <w:t xml:space="preserve"> 1) </w:t>
      </w:r>
      <w:r w:rsidR="008F7553" w:rsidRPr="003101B1">
        <w:rPr>
          <w:lang w:val="en-GB" w:eastAsia="ro-MD"/>
        </w:rPr>
        <w:t>and</w:t>
      </w:r>
      <w:r w:rsidRPr="003101B1">
        <w:rPr>
          <w:lang w:val="en-GB" w:eastAsia="ro-MD"/>
        </w:rPr>
        <w:t xml:space="preserve"> 2). </w:t>
      </w:r>
      <w:r w:rsidR="008F7553" w:rsidRPr="003101B1">
        <w:rPr>
          <w:lang w:val="en-GB" w:eastAsia="ro-MD"/>
        </w:rPr>
        <w:t>This general prior permission shall be granted only for a specified period, which shall not exceed one year, after which it may be renewed. The general prior permission shall be granted for a certain predetermined amount, which shall be set by the National Bank of Moldova, as the resolution authority. The National Bank of Moldova shall ensure that the structure exercising the resolution function informs the structure exercising the supervisory function of any general prior approval granted</w:t>
      </w:r>
      <w:r w:rsidRPr="003101B1">
        <w:rPr>
          <w:lang w:val="en-GB" w:eastAsia="ro-MD"/>
        </w:rPr>
        <w:t>.</w:t>
      </w:r>
    </w:p>
    <w:p w14:paraId="7BE628CD" w14:textId="3FCBFBB1" w:rsidR="002C3979" w:rsidRPr="003101B1" w:rsidRDefault="008F7553" w:rsidP="00524936">
      <w:pPr>
        <w:jc w:val="both"/>
        <w:rPr>
          <w:lang w:val="en-GB" w:eastAsia="ro-MD"/>
        </w:rPr>
      </w:pPr>
      <w:r w:rsidRPr="003101B1">
        <w:rPr>
          <w:lang w:val="en-GB" w:eastAsia="ro-MD"/>
        </w:rPr>
        <w:t>The National Bank of Moldova, as resolution authority, shall withdraw the general prior permission if the bank breaches any of the criteria provided for the purposes of that permission.</w:t>
      </w:r>
    </w:p>
    <w:p w14:paraId="47B82DF1" w14:textId="502458E7" w:rsidR="002C3979" w:rsidRPr="003101B1" w:rsidRDefault="002C3979" w:rsidP="00524936">
      <w:pPr>
        <w:jc w:val="both"/>
        <w:rPr>
          <w:lang w:val="en-GB" w:eastAsia="ro-MD"/>
        </w:rPr>
      </w:pPr>
      <w:r w:rsidRPr="003101B1">
        <w:rPr>
          <w:b/>
          <w:bCs/>
          <w:lang w:val="en-GB" w:eastAsia="ro-MD"/>
        </w:rPr>
        <w:t>125</w:t>
      </w:r>
      <w:r w:rsidRPr="003101B1">
        <w:rPr>
          <w:b/>
          <w:bCs/>
          <w:vertAlign w:val="superscript"/>
          <w:lang w:val="en-GB" w:eastAsia="ro-MD"/>
        </w:rPr>
        <w:t>3</w:t>
      </w:r>
      <w:r w:rsidRPr="003101B1">
        <w:rPr>
          <w:b/>
          <w:bCs/>
          <w:lang w:val="en-GB" w:eastAsia="ro-MD"/>
        </w:rPr>
        <w:t xml:space="preserve">. </w:t>
      </w:r>
      <w:r w:rsidR="008F7553" w:rsidRPr="003101B1">
        <w:rPr>
          <w:lang w:val="en-GB" w:eastAsia="ro-MD"/>
        </w:rPr>
        <w:t xml:space="preserve">When assessing the </w:t>
      </w:r>
      <w:r w:rsidR="006B1DF0" w:rsidRPr="003101B1">
        <w:rPr>
          <w:lang w:val="en-GB" w:eastAsia="ro-MD"/>
        </w:rPr>
        <w:t>sustainability </w:t>
      </w:r>
      <w:r w:rsidR="008F7553" w:rsidRPr="003101B1">
        <w:rPr>
          <w:lang w:val="en-GB" w:eastAsia="ro-MD"/>
        </w:rPr>
        <w:t xml:space="preserve">of replacement instruments in relation to the income capacity of the bank referred to in paragraph </w:t>
      </w:r>
      <w:r w:rsidRPr="003101B1">
        <w:rPr>
          <w:lang w:val="en-GB" w:eastAsia="ro-MD"/>
        </w:rPr>
        <w:t>125</w:t>
      </w:r>
      <w:r w:rsidRPr="003101B1">
        <w:rPr>
          <w:vertAlign w:val="superscript"/>
          <w:lang w:val="en-GB" w:eastAsia="ro-MD"/>
        </w:rPr>
        <w:t>1</w:t>
      </w:r>
      <w:r w:rsidRPr="003101B1">
        <w:rPr>
          <w:lang w:val="en-GB" w:eastAsia="ro-MD"/>
        </w:rPr>
        <w:t xml:space="preserve"> sub</w:t>
      </w:r>
      <w:r w:rsidR="008F7553" w:rsidRPr="003101B1">
        <w:rPr>
          <w:lang w:val="en-GB" w:eastAsia="ro-MD"/>
        </w:rPr>
        <w:t>-paragraph</w:t>
      </w:r>
      <w:r w:rsidRPr="003101B1">
        <w:rPr>
          <w:lang w:val="en-GB" w:eastAsia="ro-MD"/>
        </w:rPr>
        <w:t xml:space="preserve"> 1), </w:t>
      </w:r>
      <w:r w:rsidR="008F7553" w:rsidRPr="003101B1">
        <w:rPr>
          <w:lang w:val="en-GB" w:eastAsia="ro-MD"/>
        </w:rPr>
        <w:t>the National Bank of Moldova, as resolution authority, shall consider whether those replacement capital instruments or replacement eligible liabilities would be more costly for the bank than the capital instruments or eligible liabilities it would replace</w:t>
      </w:r>
      <w:r w:rsidRPr="003101B1">
        <w:rPr>
          <w:lang w:val="en-GB" w:eastAsia="ro-MD"/>
        </w:rPr>
        <w:t>.</w:t>
      </w:r>
      <w:r w:rsidRPr="003101B1">
        <w:rPr>
          <w:sz w:val="18"/>
          <w:szCs w:val="18"/>
          <w:highlight w:val="lightGray"/>
          <w:lang w:val="en-GB" w:eastAsia="ro-MD"/>
        </w:rPr>
        <w:t xml:space="preserve"> </w:t>
      </w:r>
    </w:p>
    <w:p w14:paraId="7FC75EEC" w14:textId="23CD84EC" w:rsidR="002C3979" w:rsidRPr="003101B1" w:rsidRDefault="002C3979" w:rsidP="00524936">
      <w:pPr>
        <w:jc w:val="both"/>
        <w:rPr>
          <w:sz w:val="18"/>
          <w:szCs w:val="18"/>
          <w:lang w:val="en-GB" w:eastAsia="ro-MD"/>
        </w:rPr>
      </w:pPr>
      <w:r w:rsidRPr="003101B1">
        <w:rPr>
          <w:b/>
          <w:bCs/>
          <w:lang w:val="en-GB" w:eastAsia="ro-MD"/>
        </w:rPr>
        <w:t>125</w:t>
      </w:r>
      <w:r w:rsidRPr="003101B1">
        <w:rPr>
          <w:b/>
          <w:bCs/>
          <w:vertAlign w:val="superscript"/>
          <w:lang w:val="en-GB" w:eastAsia="ro-MD"/>
        </w:rPr>
        <w:t>4</w:t>
      </w:r>
      <w:r w:rsidRPr="003101B1">
        <w:rPr>
          <w:b/>
          <w:bCs/>
          <w:lang w:val="en-GB" w:eastAsia="ro-MD"/>
        </w:rPr>
        <w:t>.</w:t>
      </w:r>
      <w:r w:rsidRPr="003101B1">
        <w:rPr>
          <w:lang w:val="en-GB" w:eastAsia="ro-MD"/>
        </w:rPr>
        <w:t xml:space="preserve"> </w:t>
      </w:r>
      <w:r w:rsidR="006B1DF0" w:rsidRPr="003101B1">
        <w:rPr>
          <w:lang w:val="en-GB" w:eastAsia="ro-MD"/>
        </w:rPr>
        <w:t xml:space="preserve">Sustainable for the income capacity of the bank under paragraph </w:t>
      </w:r>
      <w:r w:rsidRPr="003101B1">
        <w:rPr>
          <w:lang w:val="en-GB" w:eastAsia="ro-MD"/>
        </w:rPr>
        <w:t>125</w:t>
      </w:r>
      <w:r w:rsidRPr="003101B1">
        <w:rPr>
          <w:vertAlign w:val="superscript"/>
          <w:lang w:val="en-GB" w:eastAsia="ro-MD"/>
        </w:rPr>
        <w:t>1</w:t>
      </w:r>
      <w:r w:rsidRPr="003101B1">
        <w:rPr>
          <w:lang w:val="en-GB" w:eastAsia="ro-MD"/>
        </w:rPr>
        <w:t xml:space="preserve"> </w:t>
      </w:r>
      <w:r w:rsidR="006B1DF0" w:rsidRPr="003101B1">
        <w:rPr>
          <w:lang w:val="en-GB" w:eastAsia="ro-MD"/>
        </w:rPr>
        <w:t>means that the profitability of the bank, as assessed by the National Bank of Moldova as the resolution authority, remains sound or does not change negatively after the replacement of the eligible liabilities instruments by own funds or eligible liabilities instruments of equal or higher quality, at that date and for the foreseeable future. This assessment takes into account the bank’s profitability in crisis situations</w:t>
      </w:r>
      <w:r w:rsidRPr="003101B1">
        <w:rPr>
          <w:lang w:val="en-GB" w:eastAsia="ro-MD"/>
        </w:rPr>
        <w:t>.</w:t>
      </w:r>
      <w:r w:rsidR="003D5D26" w:rsidRPr="003101B1">
        <w:rPr>
          <w:sz w:val="18"/>
          <w:szCs w:val="18"/>
          <w:lang w:val="en-GB" w:eastAsia="ro-MD"/>
        </w:rPr>
        <w:t>”.</w:t>
      </w:r>
    </w:p>
    <w:p w14:paraId="30E2B377" w14:textId="7AFB6E5F" w:rsidR="00713EB7" w:rsidRPr="003101B1" w:rsidRDefault="006B1DF0" w:rsidP="00713EB7">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713EB7" w:rsidRPr="003101B1">
        <w:rPr>
          <w:lang w:val="en-GB" w:eastAsia="ro-MD"/>
        </w:rPr>
        <w:t xml:space="preserve"> </w:t>
      </w:r>
      <w:r w:rsidR="00687264" w:rsidRPr="003101B1">
        <w:rPr>
          <w:lang w:val="en-GB" w:eastAsia="ro-MD"/>
        </w:rPr>
        <w:t xml:space="preserve">126 </w:t>
      </w:r>
      <w:r w:rsidRPr="003101B1">
        <w:rPr>
          <w:lang w:val="en-GB" w:eastAsia="ro-MD"/>
        </w:rPr>
        <w:t>shall read as follows</w:t>
      </w:r>
      <w:r w:rsidR="00713EB7" w:rsidRPr="003101B1">
        <w:rPr>
          <w:lang w:val="en-GB" w:eastAsia="ro-MD"/>
        </w:rPr>
        <w:t>:</w:t>
      </w:r>
    </w:p>
    <w:p w14:paraId="7935AEC4" w14:textId="0DABEE80" w:rsidR="003D5D26" w:rsidRPr="003101B1" w:rsidRDefault="006B1DF0" w:rsidP="00713EB7">
      <w:pPr>
        <w:pStyle w:val="ListParagraph"/>
        <w:spacing w:before="80"/>
        <w:ind w:left="0"/>
        <w:contextualSpacing w:val="0"/>
        <w:jc w:val="both"/>
        <w:rPr>
          <w:lang w:val="en-GB" w:eastAsia="ro-MD"/>
        </w:rPr>
      </w:pPr>
      <w:r w:rsidRPr="003101B1">
        <w:rPr>
          <w:lang w:val="en-GB" w:eastAsia="ro-MD"/>
        </w:rPr>
        <w:t>“</w:t>
      </w:r>
      <w:r w:rsidR="00713EB7" w:rsidRPr="003101B1">
        <w:rPr>
          <w:b/>
          <w:bCs/>
          <w:lang w:val="en-GB" w:eastAsia="ro-MD"/>
        </w:rPr>
        <w:t>126.</w:t>
      </w:r>
      <w:r w:rsidR="00713EB7" w:rsidRPr="003101B1">
        <w:rPr>
          <w:lang w:val="en-GB" w:eastAsia="ro-MD"/>
        </w:rPr>
        <w:t xml:space="preserve"> </w:t>
      </w:r>
      <w:r w:rsidRPr="003101B1">
        <w:rPr>
          <w:lang w:val="en-GB" w:eastAsia="ro-MD"/>
        </w:rPr>
        <w:t>Where a bank holds capital instruments, liabilities or subordinated loans, as applicable, that qualify as Common Equity Tier 1/Equity Capital, Additional Tier 1 or Tier 2 instruments of a financial sector entity or as eligible liabilities instruments of the bank on a temporary basis and the National Bank of Moldova deems those holdings to be for the purposes of a financial assistance operation designed to restructure and restore the viability of that entity or bank, the National Bank of Moldova, as the competent authority, may waive on a temporary basis the provisions on deduction that would otherwise apply to those instruments</w:t>
      </w:r>
      <w:r w:rsidR="00713EB7" w:rsidRPr="003101B1">
        <w:rPr>
          <w:lang w:val="en-GB" w:eastAsia="ro-MD"/>
        </w:rPr>
        <w:t>.</w:t>
      </w:r>
      <w:r w:rsidR="00687264" w:rsidRPr="003101B1">
        <w:rPr>
          <w:lang w:val="en-GB" w:eastAsia="ro-MD"/>
        </w:rPr>
        <w:t>”.</w:t>
      </w:r>
    </w:p>
    <w:p w14:paraId="51CAB545" w14:textId="358EBC1B" w:rsidR="00687264" w:rsidRPr="003101B1" w:rsidRDefault="006B1DF0" w:rsidP="00C936FF">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paragraph </w:t>
      </w:r>
      <w:r w:rsidR="00687264" w:rsidRPr="003101B1">
        <w:rPr>
          <w:lang w:val="en-GB" w:eastAsia="ro-MD"/>
        </w:rPr>
        <w:t>128</w:t>
      </w:r>
      <w:r w:rsidR="00225FB7" w:rsidRPr="003101B1">
        <w:rPr>
          <w:lang w:val="en-GB" w:eastAsia="ro-MD"/>
        </w:rPr>
        <w:t>,</w:t>
      </w:r>
      <w:r w:rsidR="00687264" w:rsidRPr="003101B1">
        <w:rPr>
          <w:lang w:val="en-GB" w:eastAsia="ro-MD"/>
        </w:rPr>
        <w:t xml:space="preserve"> </w:t>
      </w:r>
      <w:r w:rsidRPr="003101B1">
        <w:rPr>
          <w:lang w:val="en-GB" w:eastAsia="ro-MD"/>
        </w:rPr>
        <w:t>in the second sentence, the words</w:t>
      </w:r>
      <w:r w:rsidR="00687264" w:rsidRPr="003101B1">
        <w:rPr>
          <w:lang w:val="en-GB" w:eastAsia="ro-MD"/>
        </w:rPr>
        <w:t xml:space="preserve"> </w:t>
      </w:r>
      <w:r w:rsidRPr="003101B1">
        <w:rPr>
          <w:lang w:val="en-GB" w:eastAsia="ro-MD"/>
        </w:rPr>
        <w:t>“</w:t>
      </w:r>
      <w:r w:rsidRPr="003101B1">
        <w:rPr>
          <w:lang w:val="en-GB"/>
        </w:rPr>
        <w:t>of the financial sector</w:t>
      </w:r>
      <w:r w:rsidR="00687264" w:rsidRPr="003101B1">
        <w:rPr>
          <w:lang w:val="en-GB" w:eastAsia="ro-MD"/>
        </w:rPr>
        <w:t xml:space="preserve">” </w:t>
      </w:r>
      <w:r w:rsidRPr="003101B1">
        <w:rPr>
          <w:lang w:val="en-GB" w:eastAsia="ro-MD"/>
        </w:rPr>
        <w:t>shall be supplemented with the words</w:t>
      </w:r>
      <w:r w:rsidR="00687264" w:rsidRPr="003101B1">
        <w:rPr>
          <w:lang w:val="en-GB" w:eastAsia="ro-MD"/>
        </w:rPr>
        <w:t xml:space="preserve"> </w:t>
      </w:r>
      <w:r w:rsidRPr="003101B1">
        <w:rPr>
          <w:lang w:val="en-GB" w:eastAsia="ro-MD"/>
        </w:rPr>
        <w:t>“or eligible liabilities instruments</w:t>
      </w:r>
      <w:r w:rsidR="00687264" w:rsidRPr="003101B1">
        <w:rPr>
          <w:lang w:val="en-GB" w:eastAsia="ro-MD"/>
        </w:rPr>
        <w:t>”.</w:t>
      </w:r>
    </w:p>
    <w:p w14:paraId="69CD9E32" w14:textId="485202F1" w:rsidR="00687264" w:rsidRPr="003101B1" w:rsidRDefault="006B1DF0"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687264" w:rsidRPr="003101B1">
        <w:rPr>
          <w:lang w:val="en-GB" w:eastAsia="ro-MD"/>
        </w:rPr>
        <w:t xml:space="preserve"> 129 </w:t>
      </w:r>
      <w:r w:rsidRPr="003101B1">
        <w:rPr>
          <w:lang w:val="en-GB" w:eastAsia="ro-MD"/>
        </w:rPr>
        <w:t>shall read as follows</w:t>
      </w:r>
      <w:r w:rsidR="00C56E39" w:rsidRPr="003101B1">
        <w:rPr>
          <w:lang w:val="en-GB" w:eastAsia="ro-MD"/>
        </w:rPr>
        <w:t>:</w:t>
      </w:r>
    </w:p>
    <w:p w14:paraId="5606F742" w14:textId="30B92430" w:rsidR="00C56E39" w:rsidRPr="003101B1" w:rsidRDefault="006B1DF0" w:rsidP="00C56E39">
      <w:pPr>
        <w:jc w:val="both"/>
        <w:rPr>
          <w:lang w:val="en-GB" w:eastAsia="ro-MD"/>
        </w:rPr>
      </w:pPr>
      <w:r w:rsidRPr="003101B1">
        <w:rPr>
          <w:lang w:val="en-GB" w:eastAsia="ro-MD"/>
        </w:rPr>
        <w:t>“</w:t>
      </w:r>
      <w:r w:rsidR="00C56E39" w:rsidRPr="003101B1">
        <w:rPr>
          <w:b/>
          <w:bCs/>
          <w:lang w:val="en-GB" w:eastAsia="ro-MD"/>
        </w:rPr>
        <w:t>129.</w:t>
      </w:r>
      <w:r w:rsidR="00C56E39" w:rsidRPr="003101B1">
        <w:rPr>
          <w:lang w:val="en-GB" w:eastAsia="ro-MD"/>
        </w:rPr>
        <w:t xml:space="preserve"> </w:t>
      </w:r>
      <w:r w:rsidR="00E82282" w:rsidRPr="003101B1">
        <w:rPr>
          <w:lang w:val="en-GB" w:eastAsia="ro-MD"/>
        </w:rPr>
        <w:t>For the purpose of granting a temporary waiver for deduction from own funds and eligible liabilities, as applicable, the National Bank of Moldova may deem holdings for a financial assistance operation designed to restructure a financial sector entity or a bank, where the operation is carried out under a plan and approved by the National Bank of Moldova as the competent authority, and where the plan clearly sets out the milestones, timeline, objectives and specifies the interaction between the holdings and the financial assistance operation</w:t>
      </w:r>
      <w:r w:rsidR="00C56E39" w:rsidRPr="003101B1">
        <w:rPr>
          <w:lang w:val="en-GB" w:eastAsia="ro-MD"/>
        </w:rPr>
        <w:t>.”.</w:t>
      </w:r>
    </w:p>
    <w:p w14:paraId="4986904A" w14:textId="3630D108" w:rsidR="006F6AF2" w:rsidRPr="003101B1" w:rsidRDefault="00E82282" w:rsidP="00C936FF">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6F6AF2" w:rsidRPr="003101B1">
        <w:rPr>
          <w:lang w:val="en-GB" w:eastAsia="ro-MD"/>
        </w:rPr>
        <w:t xml:space="preserve"> 129</w:t>
      </w:r>
      <w:r w:rsidR="006F6AF2" w:rsidRPr="003101B1">
        <w:rPr>
          <w:vertAlign w:val="superscript"/>
          <w:lang w:val="en-GB" w:eastAsia="ro-MD"/>
        </w:rPr>
        <w:t>4</w:t>
      </w:r>
      <w:r w:rsidR="006F6AF2" w:rsidRPr="003101B1">
        <w:rPr>
          <w:lang w:val="en-GB" w:eastAsia="ro-MD"/>
        </w:rPr>
        <w:t>:</w:t>
      </w:r>
    </w:p>
    <w:p w14:paraId="51E9ED7D" w14:textId="739BAEFD" w:rsidR="00C56E39" w:rsidRPr="003101B1" w:rsidRDefault="00E82282" w:rsidP="00C936FF">
      <w:pPr>
        <w:pStyle w:val="ListParagraph"/>
        <w:numPr>
          <w:ilvl w:val="2"/>
          <w:numId w:val="27"/>
        </w:numPr>
        <w:ind w:left="0" w:firstLine="567"/>
        <w:jc w:val="both"/>
        <w:rPr>
          <w:lang w:val="en-GB" w:eastAsia="ro-MD"/>
        </w:rPr>
      </w:pPr>
      <w:r w:rsidRPr="003101B1">
        <w:rPr>
          <w:lang w:val="en-GB" w:eastAsia="ro-MD"/>
        </w:rPr>
        <w:t>sub-paragraph</w:t>
      </w:r>
      <w:r w:rsidR="006F6AF2" w:rsidRPr="003101B1">
        <w:rPr>
          <w:lang w:val="en-GB" w:eastAsia="ro-MD"/>
        </w:rPr>
        <w:t xml:space="preserve"> 1) </w:t>
      </w:r>
      <w:r w:rsidRPr="003101B1">
        <w:rPr>
          <w:lang w:val="en-GB" w:eastAsia="ro-MD"/>
        </w:rPr>
        <w:t>letter</w:t>
      </w:r>
      <w:r w:rsidR="006F6AF2" w:rsidRPr="003101B1">
        <w:rPr>
          <w:lang w:val="en-GB" w:eastAsia="ro-MD"/>
        </w:rPr>
        <w:t xml:space="preserve"> a)</w:t>
      </w:r>
      <w:r w:rsidR="00225FB7" w:rsidRPr="003101B1">
        <w:rPr>
          <w:lang w:val="en-GB" w:eastAsia="ro-MD"/>
        </w:rPr>
        <w:t>,</w:t>
      </w:r>
      <w:r w:rsidR="006F6AF2" w:rsidRPr="003101B1">
        <w:rPr>
          <w:lang w:val="en-GB" w:eastAsia="ro-MD"/>
        </w:rPr>
        <w:t xml:space="preserve"> </w:t>
      </w:r>
      <w:r w:rsidRPr="003101B1">
        <w:rPr>
          <w:lang w:val="en-GB" w:eastAsia="ro-MD"/>
        </w:rPr>
        <w:t>the words</w:t>
      </w:r>
      <w:r w:rsidR="006F6AF2" w:rsidRPr="003101B1">
        <w:rPr>
          <w:lang w:val="en-GB" w:eastAsia="ro-MD"/>
        </w:rPr>
        <w:t xml:space="preserve"> </w:t>
      </w:r>
      <w:r w:rsidRPr="003101B1">
        <w:rPr>
          <w:lang w:val="en-GB" w:eastAsia="ro-MD"/>
        </w:rPr>
        <w:t>“the common equity</w:t>
      </w:r>
      <w:r w:rsidR="006F6AF2" w:rsidRPr="003101B1">
        <w:rPr>
          <w:lang w:val="en-GB" w:eastAsia="ro-MD"/>
        </w:rPr>
        <w:t xml:space="preserve">” </w:t>
      </w:r>
      <w:r w:rsidRPr="003101B1">
        <w:rPr>
          <w:lang w:val="en-GB" w:eastAsia="ro-MD"/>
        </w:rPr>
        <w:t>shall be replaced with the text</w:t>
      </w:r>
      <w:r w:rsidR="006F6AF2" w:rsidRPr="003101B1">
        <w:rPr>
          <w:lang w:val="en-GB" w:eastAsia="ro-MD"/>
        </w:rPr>
        <w:t xml:space="preserve"> </w:t>
      </w:r>
      <w:r w:rsidRPr="003101B1">
        <w:rPr>
          <w:lang w:val="en-GB" w:eastAsia="ro-MD"/>
        </w:rPr>
        <w:t>“cumulatively, the amount of common equity”</w:t>
      </w:r>
      <w:r w:rsidR="006F6AF2" w:rsidRPr="003101B1">
        <w:rPr>
          <w:lang w:val="en-GB" w:eastAsia="ro-MD"/>
        </w:rPr>
        <w:t>;</w:t>
      </w:r>
    </w:p>
    <w:p w14:paraId="54DA9E25" w14:textId="1B7809E5" w:rsidR="006F6AF2" w:rsidRPr="003101B1" w:rsidRDefault="006F6AF2" w:rsidP="00C936FF">
      <w:pPr>
        <w:pStyle w:val="ListParagraph"/>
        <w:numPr>
          <w:ilvl w:val="2"/>
          <w:numId w:val="27"/>
        </w:numPr>
        <w:ind w:left="0" w:firstLine="567"/>
        <w:jc w:val="both"/>
        <w:rPr>
          <w:lang w:val="en-GB" w:eastAsia="ro-MD"/>
        </w:rPr>
      </w:pPr>
      <w:r w:rsidRPr="003101B1">
        <w:rPr>
          <w:lang w:val="en-GB" w:eastAsia="ro-MD"/>
        </w:rPr>
        <w:t>sub</w:t>
      </w:r>
      <w:r w:rsidR="00E82282" w:rsidRPr="003101B1">
        <w:rPr>
          <w:lang w:val="en-GB" w:eastAsia="ro-MD"/>
        </w:rPr>
        <w:t>-paragraph</w:t>
      </w:r>
      <w:r w:rsidRPr="003101B1">
        <w:rPr>
          <w:lang w:val="en-GB" w:eastAsia="ro-MD"/>
        </w:rPr>
        <w:t xml:space="preserve"> 2) </w:t>
      </w:r>
      <w:r w:rsidR="00E82282" w:rsidRPr="003101B1">
        <w:rPr>
          <w:lang w:val="en-GB" w:eastAsia="ro-MD"/>
        </w:rPr>
        <w:t>shall read as follows</w:t>
      </w:r>
      <w:r w:rsidRPr="003101B1">
        <w:rPr>
          <w:lang w:val="en-GB" w:eastAsia="ro-MD"/>
        </w:rPr>
        <w:t>:</w:t>
      </w:r>
    </w:p>
    <w:p w14:paraId="3D4FC924" w14:textId="47140322" w:rsidR="006F6AF2" w:rsidRPr="003101B1" w:rsidRDefault="00E82282" w:rsidP="00F1704E">
      <w:pPr>
        <w:jc w:val="both"/>
        <w:rPr>
          <w:lang w:val="en-GB" w:eastAsia="ro-MD"/>
        </w:rPr>
      </w:pPr>
      <w:r w:rsidRPr="003101B1">
        <w:rPr>
          <w:lang w:val="en-GB" w:eastAsia="ro-MD"/>
        </w:rPr>
        <w:t>“</w:t>
      </w:r>
      <w:r w:rsidR="006F6AF2" w:rsidRPr="003101B1">
        <w:rPr>
          <w:lang w:val="en-GB" w:eastAsia="ro-MD"/>
        </w:rPr>
        <w:t xml:space="preserve">2) </w:t>
      </w:r>
      <w:r w:rsidRPr="003101B1">
        <w:rPr>
          <w:lang w:val="en-GB" w:eastAsia="ro-MD"/>
        </w:rPr>
        <w:t>the minority interests of the subsidiary expressed as a percentage of all Common Equity Tier 1 items of that undertaking</w:t>
      </w:r>
      <w:r w:rsidR="006F6AF2" w:rsidRPr="003101B1">
        <w:rPr>
          <w:lang w:val="en-GB" w:eastAsia="ro-MD"/>
        </w:rPr>
        <w:t>.”;</w:t>
      </w:r>
    </w:p>
    <w:p w14:paraId="4A936CE6" w14:textId="0720ADE9" w:rsidR="006F6AF2" w:rsidRPr="003101B1" w:rsidRDefault="00E82282" w:rsidP="00C936FF">
      <w:pPr>
        <w:pStyle w:val="ListParagraph"/>
        <w:numPr>
          <w:ilvl w:val="2"/>
          <w:numId w:val="27"/>
        </w:numPr>
        <w:ind w:left="0" w:firstLine="567"/>
        <w:jc w:val="both"/>
        <w:rPr>
          <w:lang w:val="en-GB" w:eastAsia="ro-MD"/>
        </w:rPr>
      </w:pPr>
      <w:bookmarkStart w:id="20" w:name="_Hlk206773299"/>
      <w:r w:rsidRPr="003101B1">
        <w:rPr>
          <w:lang w:val="en-GB" w:eastAsia="ro-MD"/>
        </w:rPr>
        <w:t>the following new paragraph shall be added</w:t>
      </w:r>
      <w:r w:rsidR="006F6AF2" w:rsidRPr="003101B1">
        <w:rPr>
          <w:lang w:val="en-GB" w:eastAsia="ro-MD"/>
        </w:rPr>
        <w:t>:</w:t>
      </w:r>
    </w:p>
    <w:bookmarkEnd w:id="20"/>
    <w:p w14:paraId="31CEEE1A" w14:textId="7351141E" w:rsidR="006F6AF2" w:rsidRPr="003101B1" w:rsidRDefault="00E82282" w:rsidP="00F1704E">
      <w:pPr>
        <w:jc w:val="both"/>
        <w:rPr>
          <w:lang w:val="en-GB" w:eastAsia="ro-MD"/>
        </w:rPr>
      </w:pPr>
      <w:r w:rsidRPr="003101B1">
        <w:rPr>
          <w:lang w:val="en-GB" w:eastAsia="ro-MD"/>
        </w:rPr>
        <w:t xml:space="preserve">“By way of derogation from sub-paragraph </w:t>
      </w:r>
      <w:r w:rsidR="004577B6" w:rsidRPr="003101B1">
        <w:rPr>
          <w:lang w:val="en-GB" w:eastAsia="ro-MD"/>
        </w:rPr>
        <w:t xml:space="preserve">1), </w:t>
      </w:r>
      <w:r w:rsidRPr="003101B1">
        <w:rPr>
          <w:lang w:val="en-GB" w:eastAsia="ro-MD"/>
        </w:rPr>
        <w:t xml:space="preserve">banks may subtract any of the amounts referred to in sub-paragraph </w:t>
      </w:r>
      <w:r w:rsidR="004577B6" w:rsidRPr="003101B1">
        <w:rPr>
          <w:lang w:val="en-GB" w:eastAsia="ro-MD"/>
        </w:rPr>
        <w:t xml:space="preserve">1), </w:t>
      </w:r>
      <w:r w:rsidRPr="003101B1">
        <w:rPr>
          <w:lang w:val="en-GB" w:eastAsia="ro-MD"/>
        </w:rPr>
        <w:t>after having demonstrated to the satisfaction of the National Bank of Moldova, as the competent authority, that the additional amount of minority interest is available to absorb losses at consolidated level</w:t>
      </w:r>
      <w:r w:rsidR="006F6AF2" w:rsidRPr="003101B1">
        <w:rPr>
          <w:lang w:val="en-GB" w:eastAsia="ro-MD"/>
        </w:rPr>
        <w:t>.”.</w:t>
      </w:r>
    </w:p>
    <w:p w14:paraId="4A9893E8" w14:textId="3EAE0DFC" w:rsidR="004577B6" w:rsidRPr="003101B1" w:rsidRDefault="00E82282"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6F6AF2" w:rsidRPr="003101B1">
        <w:rPr>
          <w:lang w:val="en-GB" w:eastAsia="ro-MD"/>
        </w:rPr>
        <w:t xml:space="preserve"> 129</w:t>
      </w:r>
      <w:r w:rsidR="006F6AF2" w:rsidRPr="003101B1">
        <w:rPr>
          <w:vertAlign w:val="superscript"/>
          <w:lang w:val="en-GB" w:eastAsia="ro-MD"/>
        </w:rPr>
        <w:t>5</w:t>
      </w:r>
      <w:r w:rsidR="006F6AF2" w:rsidRPr="003101B1">
        <w:rPr>
          <w:lang w:val="en-GB" w:eastAsia="ro-MD"/>
        </w:rPr>
        <w:t xml:space="preserve"> </w:t>
      </w:r>
      <w:r w:rsidR="004577B6" w:rsidRPr="003101B1">
        <w:rPr>
          <w:lang w:val="en-GB" w:eastAsia="ro-MD"/>
        </w:rPr>
        <w:t>:</w:t>
      </w:r>
    </w:p>
    <w:p w14:paraId="1DD26F2B" w14:textId="5F349391" w:rsidR="004577B6" w:rsidRPr="003101B1" w:rsidRDefault="006521CA" w:rsidP="004577B6">
      <w:pPr>
        <w:pStyle w:val="ListParagraph"/>
        <w:numPr>
          <w:ilvl w:val="2"/>
          <w:numId w:val="27"/>
        </w:numPr>
        <w:spacing w:before="80"/>
        <w:ind w:left="0" w:firstLine="567"/>
        <w:contextualSpacing w:val="0"/>
        <w:jc w:val="both"/>
        <w:rPr>
          <w:lang w:val="en-GB" w:eastAsia="ro-MD"/>
        </w:rPr>
      </w:pPr>
      <w:r w:rsidRPr="003101B1">
        <w:rPr>
          <w:lang w:val="en-GB" w:eastAsia="ro-MD"/>
        </w:rPr>
        <w:t>in the introductory paragraph, the words “</w:t>
      </w:r>
      <w:r w:rsidRPr="003101B1">
        <w:rPr>
          <w:lang w:val="en-GB"/>
        </w:rPr>
        <w:t>of the National Bank of Moldova</w:t>
      </w:r>
      <w:r w:rsidR="004577B6" w:rsidRPr="003101B1">
        <w:rPr>
          <w:lang w:val="en-GB" w:eastAsia="ro-MD"/>
        </w:rPr>
        <w:t xml:space="preserve">” </w:t>
      </w:r>
      <w:r w:rsidRPr="003101B1">
        <w:rPr>
          <w:lang w:val="en-GB" w:eastAsia="ro-MD"/>
        </w:rPr>
        <w:t>shall be supplemented with the text</w:t>
      </w:r>
      <w:r w:rsidR="004577B6" w:rsidRPr="003101B1">
        <w:rPr>
          <w:lang w:val="en-GB" w:eastAsia="ro-MD"/>
        </w:rPr>
        <w:t xml:space="preserve"> </w:t>
      </w:r>
      <w:r w:rsidRPr="003101B1">
        <w:rPr>
          <w:lang w:val="en-GB" w:eastAsia="ro-MD"/>
        </w:rPr>
        <w:t>“</w:t>
      </w:r>
      <w:r w:rsidR="004577B6" w:rsidRPr="003101B1">
        <w:rPr>
          <w:lang w:val="en-GB" w:eastAsia="ro-MD"/>
        </w:rPr>
        <w:t xml:space="preserve">, </w:t>
      </w:r>
      <w:r w:rsidRPr="003101B1">
        <w:rPr>
          <w:lang w:val="en-GB" w:eastAsia="ro-MD"/>
        </w:rPr>
        <w:t>as competent authority</w:t>
      </w:r>
      <w:r w:rsidR="004577B6" w:rsidRPr="003101B1">
        <w:rPr>
          <w:lang w:val="en-GB" w:eastAsia="ro-MD"/>
        </w:rPr>
        <w:t>”;</w:t>
      </w:r>
    </w:p>
    <w:p w14:paraId="7CE95E0D" w14:textId="6049F6D6" w:rsidR="006F6AF2" w:rsidRPr="003101B1" w:rsidRDefault="006F6AF2" w:rsidP="004577B6">
      <w:pPr>
        <w:pStyle w:val="ListParagraph"/>
        <w:numPr>
          <w:ilvl w:val="2"/>
          <w:numId w:val="27"/>
        </w:numPr>
        <w:spacing w:before="80"/>
        <w:ind w:left="0" w:firstLine="567"/>
        <w:contextualSpacing w:val="0"/>
        <w:jc w:val="both"/>
        <w:rPr>
          <w:lang w:val="en-GB" w:eastAsia="ro-MD"/>
        </w:rPr>
      </w:pPr>
      <w:r w:rsidRPr="003101B1">
        <w:rPr>
          <w:lang w:val="en-GB" w:eastAsia="ro-MD"/>
        </w:rPr>
        <w:t>sub</w:t>
      </w:r>
      <w:r w:rsidR="006521CA" w:rsidRPr="003101B1">
        <w:rPr>
          <w:lang w:val="en-GB" w:eastAsia="ro-MD"/>
        </w:rPr>
        <w:t>-paragraph</w:t>
      </w:r>
      <w:r w:rsidRPr="003101B1">
        <w:rPr>
          <w:lang w:val="en-GB" w:eastAsia="ro-MD"/>
        </w:rPr>
        <w:t xml:space="preserve"> 3)</w:t>
      </w:r>
      <w:r w:rsidR="00EF40BD" w:rsidRPr="003101B1">
        <w:rPr>
          <w:lang w:val="en-GB" w:eastAsia="ro-MD"/>
        </w:rPr>
        <w:t>,</w:t>
      </w:r>
      <w:r w:rsidRPr="003101B1">
        <w:rPr>
          <w:lang w:val="en-GB" w:eastAsia="ro-MD"/>
        </w:rPr>
        <w:t xml:space="preserve"> </w:t>
      </w:r>
      <w:r w:rsidR="006521CA" w:rsidRPr="003101B1">
        <w:rPr>
          <w:lang w:val="en-GB" w:eastAsia="ro-MD"/>
        </w:rPr>
        <w:t>after the words</w:t>
      </w:r>
      <w:r w:rsidR="00256FAB" w:rsidRPr="003101B1">
        <w:rPr>
          <w:lang w:val="en-GB" w:eastAsia="ro-MD"/>
        </w:rPr>
        <w:t xml:space="preserve"> </w:t>
      </w:r>
      <w:r w:rsidR="006521CA" w:rsidRPr="003101B1">
        <w:rPr>
          <w:lang w:val="en-GB" w:eastAsia="ro-MD"/>
        </w:rPr>
        <w:t>“</w:t>
      </w:r>
      <w:r w:rsidR="006521CA" w:rsidRPr="003101B1">
        <w:rPr>
          <w:lang w:val="en-GB"/>
        </w:rPr>
        <w:t>consolidates a subsidiary</w:t>
      </w:r>
      <w:r w:rsidR="00256FAB" w:rsidRPr="003101B1">
        <w:rPr>
          <w:lang w:val="en-GB" w:eastAsia="ro-MD"/>
        </w:rPr>
        <w:t xml:space="preserve">” </w:t>
      </w:r>
      <w:r w:rsidR="006521CA" w:rsidRPr="003101B1">
        <w:rPr>
          <w:lang w:val="en-GB" w:eastAsia="ro-MD"/>
        </w:rPr>
        <w:t>shall be supplemented with the text</w:t>
      </w:r>
      <w:r w:rsidR="00256FAB" w:rsidRPr="003101B1">
        <w:rPr>
          <w:lang w:val="en-GB" w:eastAsia="ro-MD"/>
        </w:rPr>
        <w:t xml:space="preserve"> </w:t>
      </w:r>
      <w:r w:rsidR="006521CA" w:rsidRPr="003101B1">
        <w:rPr>
          <w:lang w:val="en-GB" w:eastAsia="ro-MD"/>
        </w:rPr>
        <w:t>“</w:t>
      </w:r>
      <w:r w:rsidR="00256FAB" w:rsidRPr="003101B1">
        <w:rPr>
          <w:lang w:val="en-GB" w:eastAsia="ro-MD"/>
        </w:rPr>
        <w:t xml:space="preserve">, </w:t>
      </w:r>
      <w:r w:rsidR="006521CA" w:rsidRPr="003101B1">
        <w:rPr>
          <w:lang w:val="en-GB" w:eastAsia="ro-MD"/>
        </w:rPr>
        <w:t>which is a bank</w:t>
      </w:r>
      <w:r w:rsidR="00256FAB" w:rsidRPr="003101B1">
        <w:rPr>
          <w:lang w:val="en-GB" w:eastAsia="ro-MD"/>
        </w:rPr>
        <w:t>,”.</w:t>
      </w:r>
    </w:p>
    <w:p w14:paraId="528DE839" w14:textId="273A3E8C" w:rsidR="00256FAB" w:rsidRPr="003101B1" w:rsidRDefault="00256FAB" w:rsidP="00C936FF">
      <w:pPr>
        <w:pStyle w:val="ListParagraph"/>
        <w:numPr>
          <w:ilvl w:val="1"/>
          <w:numId w:val="27"/>
        </w:numPr>
        <w:spacing w:before="80"/>
        <w:ind w:left="0" w:firstLine="567"/>
        <w:contextualSpacing w:val="0"/>
        <w:jc w:val="both"/>
        <w:rPr>
          <w:lang w:val="en-GB" w:eastAsia="ro-MD"/>
        </w:rPr>
      </w:pPr>
      <w:r w:rsidRPr="003101B1">
        <w:rPr>
          <w:lang w:val="en-GB" w:eastAsia="ro-MD"/>
        </w:rPr>
        <w:t>P</w:t>
      </w:r>
      <w:r w:rsidR="006521CA" w:rsidRPr="003101B1">
        <w:rPr>
          <w:lang w:val="en-GB" w:eastAsia="ro-MD"/>
        </w:rPr>
        <w:t xml:space="preserve">aragraph </w:t>
      </w:r>
      <w:r w:rsidRPr="003101B1">
        <w:rPr>
          <w:lang w:val="en-GB" w:eastAsia="ro-MD"/>
        </w:rPr>
        <w:t>129</w:t>
      </w:r>
      <w:r w:rsidRPr="003101B1">
        <w:rPr>
          <w:vertAlign w:val="superscript"/>
          <w:lang w:val="en-GB" w:eastAsia="ro-MD"/>
        </w:rPr>
        <w:t>11</w:t>
      </w:r>
      <w:r w:rsidRPr="003101B1">
        <w:rPr>
          <w:lang w:val="en-GB" w:eastAsia="ro-MD"/>
        </w:rPr>
        <w:t xml:space="preserve"> </w:t>
      </w:r>
      <w:r w:rsidR="006521CA" w:rsidRPr="003101B1">
        <w:rPr>
          <w:lang w:val="en-GB" w:eastAsia="ro-MD"/>
        </w:rPr>
        <w:t>shall be supplemented with a new paragraph reading as follows</w:t>
      </w:r>
      <w:r w:rsidRPr="003101B1">
        <w:rPr>
          <w:lang w:val="en-GB" w:eastAsia="ro-MD"/>
        </w:rPr>
        <w:t>:</w:t>
      </w:r>
    </w:p>
    <w:p w14:paraId="34CF3B0F" w14:textId="0B2C71D0" w:rsidR="00256FAB" w:rsidRPr="003101B1" w:rsidRDefault="006521CA" w:rsidP="00256FAB">
      <w:pPr>
        <w:jc w:val="both"/>
        <w:rPr>
          <w:lang w:val="en-GB" w:eastAsia="ro-MD"/>
        </w:rPr>
      </w:pPr>
      <w:r w:rsidRPr="003101B1">
        <w:rPr>
          <w:lang w:val="en-GB" w:eastAsia="ro-MD"/>
        </w:rPr>
        <w:t>“</w:t>
      </w:r>
      <w:r w:rsidR="00C37DE4" w:rsidRPr="003101B1">
        <w:rPr>
          <w:lang w:val="en-GB" w:eastAsia="ro-MD"/>
        </w:rPr>
        <w:t xml:space="preserve">By way of derogation from the sub-paragraph </w:t>
      </w:r>
      <w:r w:rsidR="00884F18" w:rsidRPr="003101B1">
        <w:rPr>
          <w:lang w:val="en-GB" w:eastAsia="ro-MD"/>
        </w:rPr>
        <w:t xml:space="preserve">1), </w:t>
      </w:r>
      <w:r w:rsidR="00C37DE4" w:rsidRPr="003101B1">
        <w:rPr>
          <w:lang w:val="en-GB" w:eastAsia="ro-MD"/>
        </w:rPr>
        <w:t>banks may subtract either of the amounts referred to in sub-paragraph</w:t>
      </w:r>
      <w:r w:rsidR="00884F18" w:rsidRPr="003101B1">
        <w:rPr>
          <w:lang w:val="en-GB" w:eastAsia="ro-MD"/>
        </w:rPr>
        <w:t xml:space="preserve"> 1), </w:t>
      </w:r>
      <w:r w:rsidR="00C37DE4" w:rsidRPr="003101B1">
        <w:rPr>
          <w:lang w:val="en-GB" w:eastAsia="ro-MD"/>
        </w:rPr>
        <w:t>once that institution has demonstrated to the satisfaction of the National Bank of Moldova</w:t>
      </w:r>
      <w:r w:rsidR="00884F18" w:rsidRPr="003101B1">
        <w:rPr>
          <w:lang w:val="en-GB" w:eastAsia="ro-MD"/>
        </w:rPr>
        <w:t xml:space="preserve">, </w:t>
      </w:r>
      <w:r w:rsidR="00C37DE4" w:rsidRPr="003101B1">
        <w:rPr>
          <w:lang w:val="en-GB" w:eastAsia="ro-MD"/>
        </w:rPr>
        <w:t>as competent authority that the additional amount of Tier 1 capital is available to absorb losses at consolidated level</w:t>
      </w:r>
      <w:r w:rsidR="00256FAB" w:rsidRPr="003101B1">
        <w:rPr>
          <w:lang w:val="en-GB" w:eastAsia="ro-MD"/>
        </w:rPr>
        <w:t>.”.</w:t>
      </w:r>
    </w:p>
    <w:p w14:paraId="34420827" w14:textId="296B6140" w:rsidR="00256FAB" w:rsidRPr="003101B1" w:rsidRDefault="00C37DE4" w:rsidP="00C936FF">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397D54" w:rsidRPr="003101B1">
        <w:rPr>
          <w:lang w:val="en-GB" w:eastAsia="ro-MD"/>
        </w:rPr>
        <w:t xml:space="preserve"> 129</w:t>
      </w:r>
      <w:r w:rsidR="00397D54" w:rsidRPr="003101B1">
        <w:rPr>
          <w:vertAlign w:val="superscript"/>
          <w:lang w:val="en-GB" w:eastAsia="ro-MD"/>
        </w:rPr>
        <w:t>13</w:t>
      </w:r>
      <w:r w:rsidR="00397D54" w:rsidRPr="003101B1">
        <w:rPr>
          <w:lang w:val="en-GB" w:eastAsia="ro-MD"/>
        </w:rPr>
        <w:t>:</w:t>
      </w:r>
    </w:p>
    <w:p w14:paraId="79DEFABB" w14:textId="29C0675B" w:rsidR="00397D54" w:rsidRPr="003101B1" w:rsidRDefault="00C37DE4" w:rsidP="00C936FF">
      <w:pPr>
        <w:pStyle w:val="ListParagraph"/>
        <w:numPr>
          <w:ilvl w:val="2"/>
          <w:numId w:val="27"/>
        </w:numPr>
        <w:ind w:left="0" w:firstLine="567"/>
        <w:jc w:val="both"/>
        <w:rPr>
          <w:lang w:val="en-GB" w:eastAsia="ro-MD"/>
        </w:rPr>
      </w:pPr>
      <w:r w:rsidRPr="003101B1">
        <w:rPr>
          <w:lang w:val="en-GB" w:eastAsia="ro-MD"/>
        </w:rPr>
        <w:t>s</w:t>
      </w:r>
      <w:r w:rsidR="00397D54" w:rsidRPr="003101B1">
        <w:rPr>
          <w:lang w:val="en-GB" w:eastAsia="ro-MD"/>
        </w:rPr>
        <w:t>ub</w:t>
      </w:r>
      <w:r w:rsidRPr="003101B1">
        <w:rPr>
          <w:lang w:val="en-GB" w:eastAsia="ro-MD"/>
        </w:rPr>
        <w:t>-paragraph</w:t>
      </w:r>
      <w:r w:rsidR="00397D54" w:rsidRPr="003101B1">
        <w:rPr>
          <w:lang w:val="en-GB" w:eastAsia="ro-MD"/>
        </w:rPr>
        <w:t xml:space="preserve"> 2) </w:t>
      </w:r>
      <w:r w:rsidRPr="003101B1">
        <w:rPr>
          <w:lang w:val="en-GB" w:eastAsia="ro-MD"/>
        </w:rPr>
        <w:t>shall read as follows</w:t>
      </w:r>
      <w:r w:rsidR="00397D54" w:rsidRPr="003101B1">
        <w:rPr>
          <w:lang w:val="en-GB" w:eastAsia="ro-MD"/>
        </w:rPr>
        <w:t>:</w:t>
      </w:r>
    </w:p>
    <w:p w14:paraId="5BC8AF90" w14:textId="65AD895F" w:rsidR="00397D54" w:rsidRPr="003101B1" w:rsidRDefault="00C37DE4" w:rsidP="00B13889">
      <w:pPr>
        <w:jc w:val="both"/>
        <w:rPr>
          <w:lang w:val="en-GB" w:eastAsia="ro-MD"/>
        </w:rPr>
      </w:pPr>
      <w:r w:rsidRPr="003101B1">
        <w:rPr>
          <w:lang w:val="en-GB" w:eastAsia="ro-MD"/>
        </w:rPr>
        <w:t>“</w:t>
      </w:r>
      <w:r w:rsidR="00397D54" w:rsidRPr="003101B1">
        <w:rPr>
          <w:lang w:val="en-GB" w:eastAsia="ro-MD"/>
        </w:rPr>
        <w:t xml:space="preserve">2) </w:t>
      </w:r>
      <w:r w:rsidRPr="003101B1">
        <w:rPr>
          <w:lang w:val="en-GB" w:eastAsia="ro-MD"/>
        </w:rPr>
        <w:t>the eligible own funds of the undertaking, expressed as a percentage of all Common Equity Tier 1 instruments, Additional Tier 1 items and Tier 2 items, excluding the amounts referred to in paragraphs 96 sub-paragraphs 3) and 4), of that undertaking</w:t>
      </w:r>
      <w:r w:rsidR="00397D54" w:rsidRPr="003101B1">
        <w:rPr>
          <w:lang w:val="en-GB" w:eastAsia="ro-MD"/>
        </w:rPr>
        <w:t>.”;</w:t>
      </w:r>
    </w:p>
    <w:p w14:paraId="08720851" w14:textId="057FEFF8" w:rsidR="00397D54" w:rsidRPr="003101B1" w:rsidRDefault="00C37DE4" w:rsidP="00C936FF">
      <w:pPr>
        <w:pStyle w:val="ListParagraph"/>
        <w:numPr>
          <w:ilvl w:val="2"/>
          <w:numId w:val="27"/>
        </w:numPr>
        <w:ind w:left="0" w:firstLine="567"/>
        <w:rPr>
          <w:lang w:val="en-GB" w:eastAsia="ro-MD"/>
        </w:rPr>
      </w:pPr>
      <w:r w:rsidRPr="003101B1">
        <w:rPr>
          <w:lang w:val="en-GB" w:eastAsia="ro-MD"/>
        </w:rPr>
        <w:t>the following new paragraph shall be added</w:t>
      </w:r>
      <w:r w:rsidR="00CB695D" w:rsidRPr="003101B1">
        <w:rPr>
          <w:lang w:val="en-GB" w:eastAsia="ro-MD"/>
        </w:rPr>
        <w:t>:</w:t>
      </w:r>
    </w:p>
    <w:p w14:paraId="3FB477D7" w14:textId="4C6D413C" w:rsidR="00CB695D" w:rsidRPr="003101B1" w:rsidRDefault="00C37DE4" w:rsidP="00B13889">
      <w:pPr>
        <w:jc w:val="both"/>
        <w:rPr>
          <w:lang w:val="en-GB" w:eastAsia="ro-MD"/>
        </w:rPr>
      </w:pPr>
      <w:r w:rsidRPr="003101B1">
        <w:rPr>
          <w:lang w:val="en-GB" w:eastAsia="ro-MD"/>
        </w:rPr>
        <w:t xml:space="preserve">“By way of derogation from sub-paragraph </w:t>
      </w:r>
      <w:r w:rsidR="00884F18" w:rsidRPr="003101B1">
        <w:rPr>
          <w:lang w:val="en-GB" w:eastAsia="ro-MD"/>
        </w:rPr>
        <w:t xml:space="preserve">1), </w:t>
      </w:r>
      <w:r w:rsidRPr="003101B1">
        <w:rPr>
          <w:lang w:val="en-GB" w:eastAsia="ro-MD"/>
        </w:rPr>
        <w:t>banks may subtract any of the amounts referred to in sub-paragraph</w:t>
      </w:r>
      <w:r w:rsidR="00884F18" w:rsidRPr="003101B1">
        <w:rPr>
          <w:lang w:val="en-GB" w:eastAsia="ro-MD"/>
        </w:rPr>
        <w:t xml:space="preserve"> 1), </w:t>
      </w:r>
      <w:r w:rsidRPr="003101B1">
        <w:rPr>
          <w:lang w:val="en-GB" w:eastAsia="ro-MD"/>
        </w:rPr>
        <w:t>after having demonstrated to the satisfaction of the National Bank of Moldova as the competent authority that the additional amount of own funds is available to absorb losses at consolidated level</w:t>
      </w:r>
      <w:r w:rsidR="00CB695D" w:rsidRPr="003101B1">
        <w:rPr>
          <w:lang w:val="en-GB" w:eastAsia="ro-MD"/>
        </w:rPr>
        <w:t>.”.</w:t>
      </w:r>
    </w:p>
    <w:p w14:paraId="42F2A1EA" w14:textId="1E087AED" w:rsidR="00CB695D" w:rsidRPr="003101B1" w:rsidRDefault="00C37DE4" w:rsidP="00C936FF">
      <w:pPr>
        <w:pStyle w:val="ListParagraph"/>
        <w:numPr>
          <w:ilvl w:val="1"/>
          <w:numId w:val="27"/>
        </w:numPr>
        <w:spacing w:before="80"/>
        <w:ind w:left="0" w:firstLine="567"/>
        <w:contextualSpacing w:val="0"/>
        <w:rPr>
          <w:lang w:val="en-GB" w:eastAsia="ro-MD"/>
        </w:rPr>
      </w:pPr>
      <w:r w:rsidRPr="003101B1">
        <w:rPr>
          <w:lang w:val="en-GB" w:eastAsia="ro-MD"/>
        </w:rPr>
        <w:t>Paragraphs</w:t>
      </w:r>
      <w:r w:rsidR="00CB695D" w:rsidRPr="003101B1">
        <w:rPr>
          <w:lang w:val="en-GB" w:eastAsia="ro-MD"/>
        </w:rPr>
        <w:t xml:space="preserve"> 129</w:t>
      </w:r>
      <w:r w:rsidR="00CB695D" w:rsidRPr="003101B1">
        <w:rPr>
          <w:vertAlign w:val="superscript"/>
          <w:lang w:val="en-GB" w:eastAsia="ro-MD"/>
        </w:rPr>
        <w:t>15</w:t>
      </w:r>
      <w:r w:rsidR="00CB695D" w:rsidRPr="003101B1">
        <w:rPr>
          <w:lang w:val="en-GB" w:eastAsia="ro-MD"/>
        </w:rPr>
        <w:t xml:space="preserve"> </w:t>
      </w:r>
      <w:r w:rsidRPr="003101B1">
        <w:rPr>
          <w:lang w:val="en-GB" w:eastAsia="ro-MD"/>
        </w:rPr>
        <w:t>and</w:t>
      </w:r>
      <w:r w:rsidR="00CB695D" w:rsidRPr="003101B1">
        <w:rPr>
          <w:lang w:val="en-GB" w:eastAsia="ro-MD"/>
        </w:rPr>
        <w:t xml:space="preserve"> 129</w:t>
      </w:r>
      <w:r w:rsidR="00CB695D" w:rsidRPr="003101B1">
        <w:rPr>
          <w:vertAlign w:val="superscript"/>
          <w:lang w:val="en-GB" w:eastAsia="ro-MD"/>
        </w:rPr>
        <w:t>16</w:t>
      </w:r>
      <w:r w:rsidR="00CB695D" w:rsidRPr="003101B1">
        <w:rPr>
          <w:lang w:val="en-GB" w:eastAsia="ro-MD"/>
        </w:rPr>
        <w:t xml:space="preserve"> </w:t>
      </w:r>
      <w:r w:rsidRPr="003101B1">
        <w:rPr>
          <w:lang w:val="en-GB" w:eastAsia="ro-MD"/>
        </w:rPr>
        <w:t>shall be added with the following content</w:t>
      </w:r>
      <w:r w:rsidR="00CB695D" w:rsidRPr="003101B1">
        <w:rPr>
          <w:lang w:val="en-GB" w:eastAsia="ro-MD"/>
        </w:rPr>
        <w:t>:</w:t>
      </w:r>
    </w:p>
    <w:p w14:paraId="03354251" w14:textId="27C8CFC1" w:rsidR="00CB695D" w:rsidRPr="003101B1" w:rsidRDefault="00C37DE4" w:rsidP="00CB695D">
      <w:pPr>
        <w:jc w:val="both"/>
        <w:rPr>
          <w:sz w:val="18"/>
          <w:szCs w:val="18"/>
          <w:lang w:val="en-GB" w:eastAsia="ro-MD"/>
        </w:rPr>
      </w:pPr>
      <w:r w:rsidRPr="003101B1">
        <w:rPr>
          <w:lang w:val="en-GB" w:eastAsia="ro-MD"/>
        </w:rPr>
        <w:t>“</w:t>
      </w:r>
      <w:r w:rsidR="00CB695D" w:rsidRPr="003101B1">
        <w:rPr>
          <w:b/>
          <w:bCs/>
          <w:lang w:val="en-GB" w:eastAsia="ro-MD"/>
        </w:rPr>
        <w:t>129</w:t>
      </w:r>
      <w:r w:rsidR="00CB695D" w:rsidRPr="003101B1">
        <w:rPr>
          <w:b/>
          <w:bCs/>
          <w:vertAlign w:val="superscript"/>
          <w:lang w:val="en-GB" w:eastAsia="ro-MD"/>
        </w:rPr>
        <w:t>15</w:t>
      </w:r>
      <w:r w:rsidR="00CB695D" w:rsidRPr="003101B1">
        <w:rPr>
          <w:b/>
          <w:bCs/>
          <w:lang w:val="en-GB" w:eastAsia="ro-MD"/>
        </w:rPr>
        <w:t>.</w:t>
      </w:r>
      <w:r w:rsidR="00CB695D" w:rsidRPr="003101B1">
        <w:rPr>
          <w:lang w:val="en-GB" w:eastAsia="ro-MD"/>
        </w:rPr>
        <w:t xml:space="preserve"> </w:t>
      </w:r>
      <w:r w:rsidR="001E7EBE" w:rsidRPr="003101B1">
        <w:rPr>
          <w:lang w:val="en-GB" w:eastAsia="ro-MD"/>
        </w:rPr>
        <w:t>Where the National Bank of Moldova, as the competent authority, waives the application of prudential requirements on an individual basis, as laid down in paragraph 13 of Regulation No 101/2020, minority interests, Common Equity Tier 1 instruments and own funds instruments respectively, within the subsidiaries to which the waiver is applied shall not be recognised as own funds at consolidated level</w:t>
      </w:r>
      <w:r w:rsidR="00CB695D" w:rsidRPr="003101B1">
        <w:rPr>
          <w:lang w:val="en-GB" w:eastAsia="ro-MD"/>
        </w:rPr>
        <w:t>.</w:t>
      </w:r>
      <w:r w:rsidR="00CB695D" w:rsidRPr="003101B1">
        <w:rPr>
          <w:sz w:val="18"/>
          <w:szCs w:val="18"/>
          <w:highlight w:val="lightGray"/>
          <w:lang w:val="en-GB" w:eastAsia="ro-MD"/>
        </w:rPr>
        <w:t xml:space="preserve"> </w:t>
      </w:r>
    </w:p>
    <w:p w14:paraId="1C6E6CB5" w14:textId="4BD63A2E" w:rsidR="006F6AF2" w:rsidRPr="003101B1" w:rsidRDefault="00CB695D" w:rsidP="00CB695D">
      <w:pPr>
        <w:jc w:val="both"/>
        <w:rPr>
          <w:lang w:val="en-GB" w:eastAsia="ro-MD"/>
        </w:rPr>
      </w:pPr>
      <w:r w:rsidRPr="003101B1">
        <w:rPr>
          <w:b/>
          <w:bCs/>
          <w:lang w:val="en-GB" w:eastAsia="ro-MD"/>
        </w:rPr>
        <w:t>129</w:t>
      </w:r>
      <w:r w:rsidRPr="003101B1">
        <w:rPr>
          <w:b/>
          <w:bCs/>
          <w:vertAlign w:val="superscript"/>
          <w:lang w:val="en-GB" w:eastAsia="ro-MD"/>
        </w:rPr>
        <w:t>16</w:t>
      </w:r>
      <w:r w:rsidRPr="003101B1">
        <w:rPr>
          <w:b/>
          <w:bCs/>
          <w:lang w:val="en-GB" w:eastAsia="ro-MD"/>
        </w:rPr>
        <w:t>.</w:t>
      </w:r>
      <w:r w:rsidRPr="003101B1">
        <w:rPr>
          <w:lang w:val="en-GB" w:eastAsia="ro-MD"/>
        </w:rPr>
        <w:t xml:space="preserve"> </w:t>
      </w:r>
      <w:r w:rsidR="001E7EBE" w:rsidRPr="003101B1">
        <w:rPr>
          <w:lang w:val="en-GB" w:eastAsia="ro-MD"/>
        </w:rPr>
        <w:t xml:space="preserve">For the purposes of paragraph </w:t>
      </w:r>
      <w:r w:rsidRPr="003101B1">
        <w:rPr>
          <w:lang w:val="en-GB" w:eastAsia="ro-MD"/>
        </w:rPr>
        <w:t>129</w:t>
      </w:r>
      <w:r w:rsidRPr="003101B1">
        <w:rPr>
          <w:vertAlign w:val="superscript"/>
          <w:lang w:val="en-GB" w:eastAsia="ro-MD"/>
        </w:rPr>
        <w:t>15</w:t>
      </w:r>
      <w:r w:rsidRPr="003101B1">
        <w:rPr>
          <w:lang w:val="en-GB" w:eastAsia="ro-MD"/>
        </w:rPr>
        <w:t xml:space="preserve">, </w:t>
      </w:r>
      <w:r w:rsidR="001E7EBE" w:rsidRPr="003101B1">
        <w:rPr>
          <w:lang w:val="en-GB" w:eastAsia="ro-MD"/>
        </w:rPr>
        <w:t xml:space="preserve">where the waiver applies to a subsidiary, any parent undertaking of the subsidiary that benefits from the waiver may include in its Common Equity Tier 1 capital minority interests arising from subsidiaries of the subsidiary that benefits from the waiver, provided that the calculations set out in paragraph </w:t>
      </w:r>
      <w:r w:rsidRPr="003101B1">
        <w:rPr>
          <w:lang w:val="en-GB" w:eastAsia="ro-MD"/>
        </w:rPr>
        <w:t>129</w:t>
      </w:r>
      <w:r w:rsidRPr="003101B1">
        <w:rPr>
          <w:vertAlign w:val="superscript"/>
          <w:lang w:val="en-GB" w:eastAsia="ro-MD"/>
        </w:rPr>
        <w:t>4</w:t>
      </w:r>
      <w:r w:rsidR="001E7EBE" w:rsidRPr="003101B1">
        <w:rPr>
          <w:vertAlign w:val="superscript"/>
          <w:lang w:val="en-GB" w:eastAsia="ro-MD"/>
        </w:rPr>
        <w:t xml:space="preserve"> </w:t>
      </w:r>
      <w:r w:rsidR="001E7EBE" w:rsidRPr="003101B1">
        <w:rPr>
          <w:lang w:val="en-GB" w:eastAsia="ro-MD"/>
        </w:rPr>
        <w:t>have been carried out for each of those subsidiaries. The amount of Common Equity Tier 1 capital included in the own funds at the level of the parent undertaking shall not exceed the amount that would have been included had the subsidiary not benefited from any waiver</w:t>
      </w:r>
      <w:r w:rsidRPr="003101B1">
        <w:rPr>
          <w:lang w:val="en-GB" w:eastAsia="ro-MD"/>
        </w:rPr>
        <w:t>.”.</w:t>
      </w:r>
    </w:p>
    <w:p w14:paraId="383DFCB7" w14:textId="6734E0DE" w:rsidR="00C97C63" w:rsidRPr="003101B1" w:rsidRDefault="001E7EBE" w:rsidP="00EC0988">
      <w:pPr>
        <w:pStyle w:val="ListParagraph"/>
        <w:numPr>
          <w:ilvl w:val="1"/>
          <w:numId w:val="27"/>
        </w:numPr>
        <w:spacing w:before="80"/>
        <w:ind w:left="0" w:firstLine="567"/>
        <w:contextualSpacing w:val="0"/>
        <w:rPr>
          <w:lang w:val="en-GB" w:eastAsia="ro-MD"/>
        </w:rPr>
      </w:pPr>
      <w:r w:rsidRPr="003101B1">
        <w:rPr>
          <w:lang w:val="en-GB" w:eastAsia="ro-MD"/>
        </w:rPr>
        <w:t>Paragraph</w:t>
      </w:r>
      <w:r w:rsidR="00C97C63" w:rsidRPr="003101B1">
        <w:rPr>
          <w:lang w:val="en-GB" w:eastAsia="ro-MD"/>
        </w:rPr>
        <w:t xml:space="preserve"> 131</w:t>
      </w:r>
      <w:r w:rsidR="00C97C63" w:rsidRPr="003101B1">
        <w:rPr>
          <w:vertAlign w:val="superscript"/>
          <w:lang w:val="en-GB" w:eastAsia="ro-MD"/>
        </w:rPr>
        <w:t>1</w:t>
      </w:r>
      <w:r w:rsidR="00C97C63" w:rsidRPr="003101B1">
        <w:rPr>
          <w:lang w:val="en-GB" w:eastAsia="ro-MD"/>
        </w:rPr>
        <w:t xml:space="preserve"> </w:t>
      </w:r>
      <w:r w:rsidRPr="003101B1">
        <w:rPr>
          <w:lang w:val="en-GB" w:eastAsia="ro-MD"/>
        </w:rPr>
        <w:t>shall be added with the following content</w:t>
      </w:r>
      <w:r w:rsidR="00C97C63" w:rsidRPr="003101B1">
        <w:rPr>
          <w:lang w:val="en-GB" w:eastAsia="ro-MD"/>
        </w:rPr>
        <w:t>:</w:t>
      </w:r>
    </w:p>
    <w:p w14:paraId="2DE7F79E" w14:textId="42DEE3AB" w:rsidR="00C97C63" w:rsidRPr="003101B1" w:rsidRDefault="001E7EBE" w:rsidP="00C97C63">
      <w:pPr>
        <w:jc w:val="both"/>
        <w:rPr>
          <w:lang w:val="en-GB" w:eastAsia="ro-MD"/>
        </w:rPr>
      </w:pPr>
      <w:bookmarkStart w:id="21" w:name="_Hlk206773908"/>
      <w:r w:rsidRPr="003101B1">
        <w:rPr>
          <w:lang w:val="en-GB" w:eastAsia="ro-MD"/>
        </w:rPr>
        <w:t>“</w:t>
      </w:r>
      <w:r w:rsidR="00C97C63" w:rsidRPr="003101B1">
        <w:rPr>
          <w:b/>
          <w:bCs/>
          <w:lang w:val="en-GB" w:eastAsia="ro-MD"/>
        </w:rPr>
        <w:t>131</w:t>
      </w:r>
      <w:r w:rsidR="00C97C63" w:rsidRPr="003101B1">
        <w:rPr>
          <w:b/>
          <w:bCs/>
          <w:vertAlign w:val="superscript"/>
          <w:lang w:val="en-GB" w:eastAsia="ro-MD"/>
        </w:rPr>
        <w:t>1</w:t>
      </w:r>
      <w:r w:rsidR="00C97C63" w:rsidRPr="003101B1">
        <w:rPr>
          <w:b/>
          <w:bCs/>
          <w:lang w:val="en-GB" w:eastAsia="ro-MD"/>
        </w:rPr>
        <w:t>.</w:t>
      </w:r>
      <w:r w:rsidR="00C97C63" w:rsidRPr="003101B1">
        <w:rPr>
          <w:lang w:val="en-GB" w:eastAsia="ro-MD"/>
        </w:rPr>
        <w:t xml:space="preserve"> </w:t>
      </w:r>
      <w:r w:rsidRPr="003101B1">
        <w:rPr>
          <w:lang w:val="en-GB" w:eastAsia="ro-MD"/>
        </w:rPr>
        <w:t>Banks shall calculate the total risk exposure amount as follows</w:t>
      </w:r>
      <w:r w:rsidR="00C97C63" w:rsidRPr="003101B1">
        <w:rPr>
          <w:lang w:val="en-GB" w:eastAsia="ro-MD"/>
        </w:rPr>
        <w:t>:</w:t>
      </w:r>
    </w:p>
    <w:p w14:paraId="371322FE" w14:textId="77777777" w:rsidR="00C97C63" w:rsidRPr="003101B1" w:rsidRDefault="00C97C63" w:rsidP="00C97C63">
      <w:pPr>
        <w:ind w:firstLine="567"/>
        <w:jc w:val="both"/>
        <w:rPr>
          <w:lang w:val="en-GB" w:eastAsia="ro-MD"/>
        </w:rPr>
      </w:pPr>
      <w:r w:rsidRPr="003101B1">
        <w:rPr>
          <w:lang w:val="en-GB" w:eastAsia="ro-MD"/>
        </w:rPr>
        <w:t>TREA = max {U-TREA; x · S-TREA}</w:t>
      </w:r>
    </w:p>
    <w:p w14:paraId="743245C2" w14:textId="77777777" w:rsidR="00C97C63" w:rsidRPr="003101B1" w:rsidRDefault="00C97C63" w:rsidP="00C97C63">
      <w:pPr>
        <w:ind w:firstLine="567"/>
        <w:jc w:val="both"/>
        <w:rPr>
          <w:lang w:val="en-GB" w:eastAsia="ro-MD"/>
        </w:rPr>
      </w:pPr>
    </w:p>
    <w:p w14:paraId="47AB1B5D" w14:textId="1EBB3D8A" w:rsidR="00C97C63" w:rsidRPr="003101B1" w:rsidRDefault="001E7EBE" w:rsidP="00C97C63">
      <w:pPr>
        <w:ind w:firstLine="567"/>
        <w:jc w:val="both"/>
        <w:rPr>
          <w:lang w:val="en-GB" w:eastAsia="ro-MD"/>
        </w:rPr>
      </w:pPr>
      <w:r w:rsidRPr="003101B1">
        <w:rPr>
          <w:lang w:val="en-GB" w:eastAsia="ro-MD"/>
        </w:rPr>
        <w:t>where</w:t>
      </w:r>
      <w:r w:rsidR="00C97C63" w:rsidRPr="003101B1">
        <w:rPr>
          <w:lang w:val="en-GB" w:eastAsia="ro-MD"/>
        </w:rPr>
        <w:t>:</w:t>
      </w:r>
    </w:p>
    <w:p w14:paraId="0A458A3E" w14:textId="59C58415" w:rsidR="00C97C63" w:rsidRPr="003101B1" w:rsidRDefault="00C97C63" w:rsidP="00C97C63">
      <w:pPr>
        <w:ind w:firstLine="567"/>
        <w:jc w:val="both"/>
        <w:rPr>
          <w:lang w:val="en-GB" w:eastAsia="ro-MD"/>
        </w:rPr>
      </w:pPr>
      <w:r w:rsidRPr="003101B1">
        <w:rPr>
          <w:lang w:val="en-GB" w:eastAsia="ro-MD"/>
        </w:rPr>
        <w:t xml:space="preserve">TREA = </w:t>
      </w:r>
      <w:r w:rsidR="001E7EBE" w:rsidRPr="003101B1">
        <w:rPr>
          <w:lang w:val="en-GB" w:eastAsia="ro-MD"/>
        </w:rPr>
        <w:t>the total risk exposure amount of the entity</w:t>
      </w:r>
      <w:r w:rsidRPr="003101B1">
        <w:rPr>
          <w:lang w:val="en-GB" w:eastAsia="ro-MD"/>
        </w:rPr>
        <w:t>;</w:t>
      </w:r>
    </w:p>
    <w:p w14:paraId="28D51CA1" w14:textId="6CF89FD0" w:rsidR="00C97C63" w:rsidRPr="003101B1" w:rsidRDefault="00C97C63" w:rsidP="00C97C63">
      <w:pPr>
        <w:ind w:firstLine="567"/>
        <w:jc w:val="both"/>
        <w:rPr>
          <w:lang w:val="en-GB" w:eastAsia="ro-MD"/>
        </w:rPr>
      </w:pPr>
      <w:r w:rsidRPr="003101B1">
        <w:rPr>
          <w:lang w:val="en-GB" w:eastAsia="ro-MD"/>
        </w:rPr>
        <w:t xml:space="preserve">U-TREA = </w:t>
      </w:r>
      <w:r w:rsidR="001E7EBE" w:rsidRPr="003101B1">
        <w:rPr>
          <w:lang w:val="en-GB" w:eastAsia="ro-MD"/>
        </w:rPr>
        <w:t>the un-floored total risk exposure amount of the entity calculated in accordance with paragraph</w:t>
      </w:r>
      <w:r w:rsidRPr="003101B1">
        <w:rPr>
          <w:lang w:val="en-GB" w:eastAsia="ro-MD"/>
        </w:rPr>
        <w:t xml:space="preserve"> 132;</w:t>
      </w:r>
    </w:p>
    <w:p w14:paraId="12B8177F" w14:textId="71D16A95" w:rsidR="00C97C63" w:rsidRPr="003101B1" w:rsidRDefault="00C97C63" w:rsidP="00C97C63">
      <w:pPr>
        <w:ind w:firstLine="567"/>
        <w:jc w:val="both"/>
        <w:rPr>
          <w:lang w:val="en-GB" w:eastAsia="ro-MD"/>
        </w:rPr>
      </w:pPr>
      <w:r w:rsidRPr="003101B1">
        <w:rPr>
          <w:lang w:val="en-GB" w:eastAsia="ro-MD"/>
        </w:rPr>
        <w:t xml:space="preserve">S-TREA = </w:t>
      </w:r>
      <w:r w:rsidR="001E7EBE" w:rsidRPr="003101B1">
        <w:rPr>
          <w:lang w:val="en-GB" w:eastAsia="ro-MD"/>
        </w:rPr>
        <w:t xml:space="preserve">the standardised total risk exposure amount calculated in accordance with paragraph </w:t>
      </w:r>
      <w:r w:rsidRPr="003101B1">
        <w:rPr>
          <w:lang w:val="en-GB" w:eastAsia="ro-MD"/>
        </w:rPr>
        <w:t>132</w:t>
      </w:r>
      <w:r w:rsidRPr="003101B1">
        <w:rPr>
          <w:vertAlign w:val="superscript"/>
          <w:lang w:val="en-GB" w:eastAsia="ro-MD"/>
        </w:rPr>
        <w:t>1</w:t>
      </w:r>
      <w:r w:rsidRPr="003101B1">
        <w:rPr>
          <w:lang w:val="en-GB" w:eastAsia="ro-MD"/>
        </w:rPr>
        <w:t>;</w:t>
      </w:r>
    </w:p>
    <w:p w14:paraId="08F469EE" w14:textId="782AC6B8" w:rsidR="00C97C63" w:rsidRPr="003101B1" w:rsidRDefault="00C97C63" w:rsidP="00461C85">
      <w:pPr>
        <w:ind w:firstLine="567"/>
        <w:jc w:val="both"/>
        <w:rPr>
          <w:sz w:val="18"/>
          <w:szCs w:val="18"/>
          <w:lang w:val="en-GB" w:eastAsia="ro-MD"/>
        </w:rPr>
      </w:pPr>
      <w:r w:rsidRPr="003101B1">
        <w:rPr>
          <w:lang w:val="en-GB" w:eastAsia="ro-MD"/>
        </w:rPr>
        <w:t>x = 72,5%.</w:t>
      </w:r>
      <w:bookmarkEnd w:id="21"/>
      <w:r w:rsidRPr="003101B1">
        <w:rPr>
          <w:sz w:val="18"/>
          <w:szCs w:val="18"/>
          <w:lang w:val="en-GB" w:eastAsia="ro-MD"/>
        </w:rPr>
        <w:t>”.</w:t>
      </w:r>
    </w:p>
    <w:p w14:paraId="5D44AAA1" w14:textId="7668A9C2" w:rsidR="00C97C63" w:rsidRPr="003101B1" w:rsidRDefault="001E7EBE" w:rsidP="00EC0988">
      <w:pPr>
        <w:pStyle w:val="ListParagraph"/>
        <w:numPr>
          <w:ilvl w:val="1"/>
          <w:numId w:val="27"/>
        </w:numPr>
        <w:spacing w:before="80"/>
        <w:ind w:left="0" w:firstLine="567"/>
        <w:contextualSpacing w:val="0"/>
        <w:jc w:val="both"/>
        <w:rPr>
          <w:lang w:val="en-GB" w:eastAsia="ro-MD"/>
        </w:rPr>
      </w:pPr>
      <w:r w:rsidRPr="003101B1">
        <w:rPr>
          <w:lang w:val="en-GB" w:eastAsia="ro-MD"/>
        </w:rPr>
        <w:t xml:space="preserve">Paragraph </w:t>
      </w:r>
      <w:r w:rsidR="00C97C63" w:rsidRPr="003101B1">
        <w:rPr>
          <w:lang w:val="en-GB" w:eastAsia="ro-MD"/>
        </w:rPr>
        <w:t xml:space="preserve">132 </w:t>
      </w:r>
      <w:r w:rsidRPr="003101B1">
        <w:rPr>
          <w:lang w:val="en-GB" w:eastAsia="ro-MD"/>
        </w:rPr>
        <w:t>shall read as follows</w:t>
      </w:r>
      <w:r w:rsidR="00C97C63" w:rsidRPr="003101B1">
        <w:rPr>
          <w:lang w:val="en-GB" w:eastAsia="ro-MD"/>
        </w:rPr>
        <w:t>:</w:t>
      </w:r>
    </w:p>
    <w:p w14:paraId="6ED1C630" w14:textId="3FFD50D6" w:rsidR="00C97C63" w:rsidRPr="003101B1" w:rsidRDefault="001E7EBE" w:rsidP="00BE68E3">
      <w:pPr>
        <w:jc w:val="both"/>
        <w:rPr>
          <w:lang w:val="en-GB" w:eastAsia="ro-MD"/>
        </w:rPr>
      </w:pPr>
      <w:r w:rsidRPr="003101B1">
        <w:rPr>
          <w:lang w:val="en-GB" w:eastAsia="ro-MD"/>
        </w:rPr>
        <w:t>“</w:t>
      </w:r>
      <w:r w:rsidR="00C97C63" w:rsidRPr="003101B1">
        <w:rPr>
          <w:b/>
          <w:bCs/>
          <w:lang w:val="en-GB" w:eastAsia="ro-MD"/>
        </w:rPr>
        <w:t>132.</w:t>
      </w:r>
      <w:r w:rsidR="00C97C63" w:rsidRPr="003101B1">
        <w:rPr>
          <w:lang w:val="en-GB" w:eastAsia="ro-MD"/>
        </w:rPr>
        <w:t xml:space="preserve"> </w:t>
      </w:r>
      <w:r w:rsidRPr="003101B1">
        <w:rPr>
          <w:lang w:val="en-GB" w:eastAsia="ro-MD"/>
        </w:rPr>
        <w:t xml:space="preserve">The un-floored total risk exposure amount shall be equal to the sum of sub-paragraphs 1)-6), after taking into account the provisions set out in </w:t>
      </w:r>
      <w:r w:rsidR="00BE5FF1" w:rsidRPr="003101B1">
        <w:rPr>
          <w:lang w:val="en-GB" w:eastAsia="ro-MD"/>
        </w:rPr>
        <w:t>paragraph</w:t>
      </w:r>
      <w:r w:rsidR="00C97C63" w:rsidRPr="003101B1">
        <w:rPr>
          <w:lang w:val="en-GB" w:eastAsia="ro-MD"/>
        </w:rPr>
        <w:t xml:space="preserve"> 133:</w:t>
      </w:r>
    </w:p>
    <w:p w14:paraId="00AD0485" w14:textId="3C142F36" w:rsidR="00C97C63" w:rsidRPr="003101B1" w:rsidRDefault="00C97C63" w:rsidP="00C97C63">
      <w:pPr>
        <w:jc w:val="both"/>
        <w:rPr>
          <w:lang w:val="en-GB" w:eastAsia="ro-MD"/>
        </w:rPr>
      </w:pPr>
      <w:r w:rsidRPr="003101B1">
        <w:rPr>
          <w:lang w:val="en-GB" w:eastAsia="ro-MD"/>
        </w:rPr>
        <w:t xml:space="preserve">1) </w:t>
      </w:r>
      <w:r w:rsidR="001E7EBE" w:rsidRPr="003101B1">
        <w:rPr>
          <w:lang w:val="en-GB" w:eastAsia="ro-MD"/>
        </w:rPr>
        <w:t>risk weighted exposure amounts for credit risk, including counterparty credit risk, and dilution and free deliveries risk calculated in accordance with Regulation No 111/2018, the National Bank of Moldova’s legislation for the treatment of credit risk under the Internal Ratings Based Approach, the Regulation on the treatment of counterparty credit risk for banks approved by Decision of the Executive Board of the National Bank of Moldova No 220/2025 (hereinafter – Regulation No 220/2025) and Regulation No 115/2018, in relation to all activities of a bank, excluding risk weighted exposure amounts from the bank’s trading book</w:t>
      </w:r>
      <w:r w:rsidRPr="003101B1">
        <w:rPr>
          <w:lang w:val="en-GB" w:eastAsia="ro-MD"/>
        </w:rPr>
        <w:t xml:space="preserve">; </w:t>
      </w:r>
    </w:p>
    <w:p w14:paraId="08931725" w14:textId="4C0C933E" w:rsidR="00C97C63" w:rsidRPr="003101B1" w:rsidRDefault="00C97C63" w:rsidP="00C97C63">
      <w:pPr>
        <w:jc w:val="both"/>
        <w:rPr>
          <w:lang w:val="en-GB" w:eastAsia="ro-MD"/>
        </w:rPr>
      </w:pPr>
      <w:r w:rsidRPr="003101B1">
        <w:rPr>
          <w:lang w:val="en-GB" w:eastAsia="ro-MD"/>
        </w:rPr>
        <w:t xml:space="preserve">2) </w:t>
      </w:r>
      <w:r w:rsidR="007867FE" w:rsidRPr="003101B1">
        <w:rPr>
          <w:lang w:val="en-GB" w:eastAsia="ro-MD"/>
        </w:rPr>
        <w:t>own funds requirements applicable to a bank’s trading book, for market risk, determined in accordance with Regulation No 114/2018 and the Large Exposures Regulation approved by Decision of the Executive Board of the National Bank of Moldova No 109/2019 (hereinafter – Regulation No 109/2019), on large exposures exceeding the limits set by Regulation No 109/2019, to the extent that a bank may exceed those limits under its terms</w:t>
      </w:r>
      <w:r w:rsidRPr="003101B1">
        <w:rPr>
          <w:lang w:val="en-GB" w:eastAsia="ro-MD"/>
        </w:rPr>
        <w:t>;</w:t>
      </w:r>
    </w:p>
    <w:p w14:paraId="0DEB9C18" w14:textId="19B06848" w:rsidR="00C97C63" w:rsidRPr="003101B1" w:rsidRDefault="00C97C63" w:rsidP="00C97C63">
      <w:pPr>
        <w:jc w:val="both"/>
        <w:rPr>
          <w:lang w:val="en-GB" w:eastAsia="ro-MD"/>
        </w:rPr>
      </w:pPr>
      <w:r w:rsidRPr="003101B1">
        <w:rPr>
          <w:lang w:val="en-GB" w:eastAsia="ro-MD"/>
        </w:rPr>
        <w:t xml:space="preserve">3) </w:t>
      </w:r>
      <w:r w:rsidR="007867FE" w:rsidRPr="003101B1">
        <w:rPr>
          <w:lang w:val="en-GB" w:eastAsia="ro-MD"/>
        </w:rPr>
        <w:t>own funds requirements for foreign exchange risk and commodities risk determined in accordance with Regulation No 114/2018</w:t>
      </w:r>
      <w:r w:rsidRPr="003101B1">
        <w:rPr>
          <w:lang w:val="en-GB" w:eastAsia="ro-MD"/>
        </w:rPr>
        <w:t>;</w:t>
      </w:r>
    </w:p>
    <w:p w14:paraId="22D005CC" w14:textId="1C82041F" w:rsidR="00C97C63" w:rsidRPr="003101B1" w:rsidRDefault="00FD1059" w:rsidP="00C97C63">
      <w:pPr>
        <w:jc w:val="both"/>
        <w:rPr>
          <w:lang w:val="en-GB" w:eastAsia="ro-MD"/>
        </w:rPr>
      </w:pPr>
      <w:r w:rsidRPr="003101B1">
        <w:rPr>
          <w:lang w:val="en-GB" w:eastAsia="ro-MD"/>
        </w:rPr>
        <w:t>4</w:t>
      </w:r>
      <w:r w:rsidR="00C97C63" w:rsidRPr="003101B1">
        <w:rPr>
          <w:lang w:val="en-GB" w:eastAsia="ro-MD"/>
        </w:rPr>
        <w:t xml:space="preserve">) </w:t>
      </w:r>
      <w:r w:rsidR="007867FE" w:rsidRPr="003101B1">
        <w:rPr>
          <w:lang w:val="en-GB" w:eastAsia="ro-MD"/>
        </w:rPr>
        <w:t>own funds requirements for settlement risk determined in accordance with Regulation No 115/2018</w:t>
      </w:r>
      <w:r w:rsidR="00C97C63" w:rsidRPr="003101B1">
        <w:rPr>
          <w:lang w:val="en-GB" w:eastAsia="ro-MD"/>
        </w:rPr>
        <w:t>;</w:t>
      </w:r>
      <w:r w:rsidR="00C97C63" w:rsidRPr="003101B1">
        <w:rPr>
          <w:sz w:val="18"/>
          <w:szCs w:val="18"/>
          <w:highlight w:val="lightGray"/>
          <w:lang w:val="en-GB" w:eastAsia="ro-MD"/>
        </w:rPr>
        <w:t xml:space="preserve"> </w:t>
      </w:r>
    </w:p>
    <w:p w14:paraId="217B205E" w14:textId="47304559" w:rsidR="00C97C63" w:rsidRPr="003101B1" w:rsidRDefault="00FD1059" w:rsidP="00C97C63">
      <w:pPr>
        <w:jc w:val="both"/>
        <w:rPr>
          <w:lang w:val="en-GB" w:eastAsia="ro-MD"/>
        </w:rPr>
      </w:pPr>
      <w:r w:rsidRPr="003101B1">
        <w:rPr>
          <w:lang w:val="en-GB" w:eastAsia="ro-MD"/>
        </w:rPr>
        <w:t>5</w:t>
      </w:r>
      <w:r w:rsidR="00C97C63" w:rsidRPr="003101B1">
        <w:rPr>
          <w:lang w:val="en-GB" w:eastAsia="ro-MD"/>
        </w:rPr>
        <w:t xml:space="preserve">) </w:t>
      </w:r>
      <w:r w:rsidR="007867FE" w:rsidRPr="003101B1">
        <w:rPr>
          <w:lang w:val="en-GB" w:eastAsia="ro-MD"/>
        </w:rPr>
        <w:t>own funds requirements for operational risk determined in accordance with the Regulation on the own funds requirement for banks' operational risk according to the Basic Indicator Approach and the Standardised Approach, approved by Decision of the Executive Board of the National Bank of Moldova No 311/2025</w:t>
      </w:r>
      <w:r w:rsidR="00C97C63" w:rsidRPr="003101B1">
        <w:rPr>
          <w:lang w:val="en-GB" w:eastAsia="ro-MD"/>
        </w:rPr>
        <w:t>;</w:t>
      </w:r>
      <w:r w:rsidR="00C97C63" w:rsidRPr="003101B1">
        <w:rPr>
          <w:sz w:val="18"/>
          <w:szCs w:val="18"/>
          <w:highlight w:val="lightGray"/>
          <w:lang w:val="en-GB" w:eastAsia="ro-MD"/>
        </w:rPr>
        <w:t xml:space="preserve"> </w:t>
      </w:r>
    </w:p>
    <w:p w14:paraId="0B95694A" w14:textId="71C8106E" w:rsidR="00C97C63" w:rsidRPr="003101B1" w:rsidRDefault="00FD1059" w:rsidP="00C97C63">
      <w:pPr>
        <w:jc w:val="both"/>
        <w:rPr>
          <w:lang w:val="en-GB" w:eastAsia="ro-MD"/>
        </w:rPr>
      </w:pPr>
      <w:r w:rsidRPr="003101B1">
        <w:rPr>
          <w:lang w:val="en-GB" w:eastAsia="ro-MD"/>
        </w:rPr>
        <w:t>6</w:t>
      </w:r>
      <w:r w:rsidR="00C97C63" w:rsidRPr="003101B1">
        <w:rPr>
          <w:lang w:val="en-GB" w:eastAsia="ro-MD"/>
        </w:rPr>
        <w:t xml:space="preserve">) </w:t>
      </w:r>
      <w:r w:rsidR="00B30421" w:rsidRPr="003101B1">
        <w:rPr>
          <w:lang w:val="en-GB" w:eastAsia="ro-MD"/>
        </w:rPr>
        <w:t>own funds requirements for credit valuation adjustment risk, calculated in accordance with the Regulation on the treatment of credit valuation adjustment risk for banks approved by Decision of the Executive Board of the National Bank of Moldova No 103/2020</w:t>
      </w:r>
      <w:r w:rsidR="00C97C63" w:rsidRPr="003101B1">
        <w:rPr>
          <w:lang w:val="en-GB" w:eastAsia="ro-MD"/>
        </w:rPr>
        <w:t>;</w:t>
      </w:r>
      <w:r w:rsidR="00C97C63" w:rsidRPr="003101B1">
        <w:rPr>
          <w:sz w:val="18"/>
          <w:szCs w:val="18"/>
          <w:highlight w:val="lightGray"/>
          <w:lang w:val="en-GB" w:eastAsia="ro-MD"/>
        </w:rPr>
        <w:t xml:space="preserve"> </w:t>
      </w:r>
    </w:p>
    <w:p w14:paraId="76220852" w14:textId="7B81454A" w:rsidR="00C97C63" w:rsidRPr="003101B1" w:rsidRDefault="00FD1059" w:rsidP="00C97C63">
      <w:pPr>
        <w:jc w:val="both"/>
        <w:rPr>
          <w:lang w:val="en-GB" w:eastAsia="ro-MD"/>
        </w:rPr>
      </w:pPr>
      <w:r w:rsidRPr="003101B1">
        <w:rPr>
          <w:lang w:val="en-GB" w:eastAsia="ro-MD"/>
        </w:rPr>
        <w:t>7</w:t>
      </w:r>
      <w:r w:rsidR="00C97C63" w:rsidRPr="003101B1">
        <w:rPr>
          <w:lang w:val="en-GB" w:eastAsia="ro-MD"/>
        </w:rPr>
        <w:t xml:space="preserve">) </w:t>
      </w:r>
      <w:r w:rsidR="00B30421" w:rsidRPr="003101B1">
        <w:rPr>
          <w:lang w:val="en-GB" w:eastAsia="ro-MD"/>
        </w:rPr>
        <w:t>risk weighted exposure amounts determined in accordance with Regulation No 220/2025 for counterparty risk arising from the trading book of the bank for contracts listed in Annex 1 of Regulation No 114/2018 and credit derivatives, repurchase transactions, securities or commodities lending or borrowing transactions based on securities or commodities, margin lending transactions based on securities or commodities and long settlement transactions</w:t>
      </w:r>
      <w:r w:rsidR="00C97C63" w:rsidRPr="003101B1">
        <w:rPr>
          <w:lang w:val="en-GB" w:eastAsia="ro-MD"/>
        </w:rPr>
        <w:t>.”.</w:t>
      </w:r>
    </w:p>
    <w:p w14:paraId="0724255A" w14:textId="38B590AF" w:rsidR="00C97C63" w:rsidRPr="003101B1" w:rsidRDefault="00B30421" w:rsidP="00EC0988">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C97C63" w:rsidRPr="003101B1">
        <w:rPr>
          <w:lang w:val="en-GB" w:eastAsia="ro-MD"/>
        </w:rPr>
        <w:t xml:space="preserve"> 132</w:t>
      </w:r>
      <w:r w:rsidR="00C97C63" w:rsidRPr="003101B1">
        <w:rPr>
          <w:vertAlign w:val="superscript"/>
          <w:lang w:val="en-GB" w:eastAsia="ro-MD"/>
        </w:rPr>
        <w:t>1</w:t>
      </w:r>
      <w:r w:rsidR="00C97C63" w:rsidRPr="003101B1">
        <w:rPr>
          <w:lang w:val="en-GB" w:eastAsia="ro-MD"/>
        </w:rPr>
        <w:t xml:space="preserve"> </w:t>
      </w:r>
      <w:r w:rsidRPr="003101B1">
        <w:rPr>
          <w:lang w:val="en-GB" w:eastAsia="ro-MD"/>
        </w:rPr>
        <w:t>shall be added with the following content</w:t>
      </w:r>
      <w:r w:rsidR="00C97C63" w:rsidRPr="003101B1">
        <w:rPr>
          <w:lang w:val="en-GB" w:eastAsia="ro-MD"/>
        </w:rPr>
        <w:t>:</w:t>
      </w:r>
    </w:p>
    <w:p w14:paraId="2C41D7A5" w14:textId="14B2502B" w:rsidR="00C97C63" w:rsidRPr="003101B1" w:rsidRDefault="00B30421" w:rsidP="00C97C63">
      <w:pPr>
        <w:jc w:val="both"/>
        <w:rPr>
          <w:lang w:val="en-GB" w:eastAsia="ro-MD"/>
        </w:rPr>
      </w:pPr>
      <w:r w:rsidRPr="003101B1">
        <w:rPr>
          <w:lang w:val="en-GB" w:eastAsia="ro-MD"/>
        </w:rPr>
        <w:t>“</w:t>
      </w:r>
      <w:r w:rsidR="00C97C63" w:rsidRPr="003101B1">
        <w:rPr>
          <w:b/>
          <w:bCs/>
          <w:lang w:val="en-GB" w:eastAsia="ro-MD"/>
        </w:rPr>
        <w:t>132</w:t>
      </w:r>
      <w:r w:rsidR="00C97C63" w:rsidRPr="003101B1">
        <w:rPr>
          <w:b/>
          <w:bCs/>
          <w:vertAlign w:val="superscript"/>
          <w:lang w:val="en-GB" w:eastAsia="ro-MD"/>
        </w:rPr>
        <w:t>1</w:t>
      </w:r>
      <w:r w:rsidR="00C97C63" w:rsidRPr="003101B1">
        <w:rPr>
          <w:b/>
          <w:bCs/>
          <w:lang w:val="en-GB" w:eastAsia="ro-MD"/>
        </w:rPr>
        <w:t>.</w:t>
      </w:r>
      <w:r w:rsidR="00C97C63" w:rsidRPr="003101B1">
        <w:rPr>
          <w:lang w:val="en-GB" w:eastAsia="ro-MD"/>
        </w:rPr>
        <w:t xml:space="preserve"> </w:t>
      </w:r>
      <w:r w:rsidRPr="003101B1">
        <w:rPr>
          <w:lang w:val="en-GB" w:eastAsia="ro-MD"/>
        </w:rPr>
        <w:t>The standardised total risk exposure amount shall be calculated as the sum of sub-paragraphs 1)-7) of paragraph 132, after taking into account the provisions set out in paragraph 133. For those purposes, the risk-weighted exposure amounts for credit risk, including counterparty credit risk, and dilution risk, referred to in paragraph 132 sub-paragraph 1), as well as for counterparty credit risk arising from the trading book business referred to in paragraph 132 sub-paragraph 7), shall be calculated without using any of the following approaches</w:t>
      </w:r>
      <w:r w:rsidR="00C97C63" w:rsidRPr="003101B1">
        <w:rPr>
          <w:lang w:val="en-GB" w:eastAsia="ro-MD"/>
        </w:rPr>
        <w:t>:</w:t>
      </w:r>
    </w:p>
    <w:p w14:paraId="74FA9C58" w14:textId="3D44EA1F" w:rsidR="00C97C63" w:rsidRPr="003101B1" w:rsidRDefault="00993D84" w:rsidP="00C97C63">
      <w:pPr>
        <w:jc w:val="both"/>
        <w:rPr>
          <w:lang w:val="en-GB" w:eastAsia="ro-MD"/>
        </w:rPr>
      </w:pPr>
      <w:r w:rsidRPr="003101B1">
        <w:rPr>
          <w:lang w:val="en-GB" w:eastAsia="ro-MD"/>
        </w:rPr>
        <w:t>1</w:t>
      </w:r>
      <w:r w:rsidR="00C97C63" w:rsidRPr="003101B1">
        <w:rPr>
          <w:lang w:val="en-GB" w:eastAsia="ro-MD"/>
        </w:rPr>
        <w:t xml:space="preserve">) </w:t>
      </w:r>
      <w:r w:rsidR="00B30421" w:rsidRPr="003101B1">
        <w:rPr>
          <w:lang w:val="en-GB" w:eastAsia="ro-MD"/>
        </w:rPr>
        <w:t>the internal model approach for master netting agreements</w:t>
      </w:r>
      <w:r w:rsidR="00C97C63" w:rsidRPr="003101B1">
        <w:rPr>
          <w:lang w:val="en-GB" w:eastAsia="ro-MD"/>
        </w:rPr>
        <w:t>;</w:t>
      </w:r>
    </w:p>
    <w:p w14:paraId="421BFB87" w14:textId="49DEFE49" w:rsidR="00C97C63" w:rsidRPr="003101B1" w:rsidRDefault="00993D84" w:rsidP="00C97C63">
      <w:pPr>
        <w:jc w:val="both"/>
        <w:rPr>
          <w:lang w:val="en-GB" w:eastAsia="ro-MD"/>
        </w:rPr>
      </w:pPr>
      <w:r w:rsidRPr="003101B1">
        <w:rPr>
          <w:lang w:val="en-GB" w:eastAsia="ro-MD"/>
        </w:rPr>
        <w:t>2</w:t>
      </w:r>
      <w:r w:rsidR="00C97C63" w:rsidRPr="003101B1">
        <w:rPr>
          <w:lang w:val="en-GB" w:eastAsia="ro-MD"/>
        </w:rPr>
        <w:t xml:space="preserve">) </w:t>
      </w:r>
      <w:r w:rsidR="000F194C" w:rsidRPr="003101B1">
        <w:rPr>
          <w:lang w:val="en-GB" w:eastAsia="ro-MD"/>
        </w:rPr>
        <w:t xml:space="preserve">internal Ratings Based Approach under the normative act of </w:t>
      </w:r>
      <w:r w:rsidR="000C6316" w:rsidRPr="003101B1">
        <w:rPr>
          <w:lang w:val="en-GB" w:eastAsia="ro-MD"/>
        </w:rPr>
        <w:t>the National</w:t>
      </w:r>
      <w:r w:rsidR="000F194C" w:rsidRPr="003101B1">
        <w:rPr>
          <w:lang w:val="en-GB" w:eastAsia="ro-MD"/>
        </w:rPr>
        <w:t xml:space="preserve"> Bank of Moldova on the treatment of banks' credit risk under the Internal Ratings Based Approach</w:t>
      </w:r>
      <w:r w:rsidR="00C97C63" w:rsidRPr="003101B1">
        <w:rPr>
          <w:lang w:val="en-GB" w:eastAsia="ro-MD"/>
        </w:rPr>
        <w:t>.”.</w:t>
      </w:r>
    </w:p>
    <w:p w14:paraId="4129571B" w14:textId="4C484A56" w:rsidR="001D6E69" w:rsidRPr="003101B1" w:rsidRDefault="000F194C" w:rsidP="00EC0988">
      <w:pPr>
        <w:pStyle w:val="ListParagraph"/>
        <w:numPr>
          <w:ilvl w:val="1"/>
          <w:numId w:val="27"/>
        </w:numPr>
        <w:spacing w:before="80"/>
        <w:ind w:left="788" w:hanging="221"/>
        <w:contextualSpacing w:val="0"/>
        <w:jc w:val="both"/>
        <w:rPr>
          <w:lang w:val="en-GB" w:eastAsia="ro-MD"/>
        </w:rPr>
      </w:pPr>
      <w:r w:rsidRPr="003101B1">
        <w:rPr>
          <w:lang w:val="en-GB" w:eastAsia="ro-MD"/>
        </w:rPr>
        <w:t xml:space="preserve">In paragraph </w:t>
      </w:r>
      <w:r w:rsidR="001D6E69" w:rsidRPr="003101B1">
        <w:rPr>
          <w:lang w:val="en-GB" w:eastAsia="ro-MD"/>
        </w:rPr>
        <w:t>133:</w:t>
      </w:r>
    </w:p>
    <w:p w14:paraId="26D497F6" w14:textId="6A1A2E25" w:rsidR="001D6E69" w:rsidRPr="003101B1" w:rsidRDefault="000F194C" w:rsidP="00C936FF">
      <w:pPr>
        <w:pStyle w:val="ListParagraph"/>
        <w:numPr>
          <w:ilvl w:val="2"/>
          <w:numId w:val="27"/>
        </w:numPr>
        <w:ind w:left="0" w:firstLine="567"/>
        <w:jc w:val="both"/>
        <w:rPr>
          <w:lang w:val="en-GB" w:eastAsia="ro-MD"/>
        </w:rPr>
      </w:pPr>
      <w:r w:rsidRPr="003101B1">
        <w:rPr>
          <w:lang w:val="en-GB" w:eastAsia="ro-MD"/>
        </w:rPr>
        <w:t>in the introductory paragraph, the words “</w:t>
      </w:r>
      <w:r w:rsidRPr="003101B1">
        <w:rPr>
          <w:lang w:val="en-GB"/>
        </w:rPr>
        <w:t>referred to in paragraph 132</w:t>
      </w:r>
      <w:r w:rsidR="001D6E69" w:rsidRPr="003101B1">
        <w:rPr>
          <w:lang w:val="en-GB" w:eastAsia="ro-MD"/>
        </w:rPr>
        <w:t xml:space="preserve">.” </w:t>
      </w:r>
      <w:r w:rsidRPr="003101B1">
        <w:rPr>
          <w:lang w:val="en-GB" w:eastAsia="ro-MD"/>
        </w:rPr>
        <w:t>shall be replaced by the words “</w:t>
      </w:r>
      <w:r w:rsidR="000C6316" w:rsidRPr="003101B1">
        <w:rPr>
          <w:lang w:val="en-GB" w:eastAsia="ro-MD"/>
        </w:rPr>
        <w:t xml:space="preserve">un-floored as referred to in paragraph 132 and standardised total risk exposure amount as referred to in paragraph </w:t>
      </w:r>
      <w:r w:rsidR="001D6E69" w:rsidRPr="003101B1">
        <w:rPr>
          <w:lang w:val="en-GB" w:eastAsia="ro-MD"/>
        </w:rPr>
        <w:t>132</w:t>
      </w:r>
      <w:r w:rsidR="001D6E69" w:rsidRPr="003101B1">
        <w:rPr>
          <w:vertAlign w:val="superscript"/>
          <w:lang w:val="en-GB" w:eastAsia="ro-MD"/>
        </w:rPr>
        <w:t>1</w:t>
      </w:r>
      <w:r w:rsidR="001D6E69" w:rsidRPr="003101B1">
        <w:rPr>
          <w:lang w:val="en-GB" w:eastAsia="ro-MD"/>
        </w:rPr>
        <w:t>:”;</w:t>
      </w:r>
    </w:p>
    <w:p w14:paraId="5AC41C70" w14:textId="78F3A7D1" w:rsidR="00AF413A" w:rsidRPr="003101B1" w:rsidRDefault="000F194C" w:rsidP="00C936FF">
      <w:pPr>
        <w:pStyle w:val="ListParagraph"/>
        <w:numPr>
          <w:ilvl w:val="2"/>
          <w:numId w:val="27"/>
        </w:numPr>
        <w:ind w:left="0" w:firstLine="567"/>
        <w:jc w:val="both"/>
        <w:rPr>
          <w:lang w:val="en-GB" w:eastAsia="ro-MD"/>
        </w:rPr>
      </w:pPr>
      <w:r w:rsidRPr="003101B1">
        <w:rPr>
          <w:lang w:val="en-GB" w:eastAsia="ro-MD"/>
        </w:rPr>
        <w:t>in sub-paragraph</w:t>
      </w:r>
      <w:r w:rsidR="001D6E69" w:rsidRPr="003101B1">
        <w:rPr>
          <w:lang w:val="en-GB" w:eastAsia="ro-MD"/>
        </w:rPr>
        <w:t xml:space="preserve"> 1)</w:t>
      </w:r>
      <w:r w:rsidR="00993D84" w:rsidRPr="003101B1">
        <w:rPr>
          <w:lang w:val="en-GB" w:eastAsia="ro-MD"/>
        </w:rPr>
        <w:t>,</w:t>
      </w:r>
      <w:r w:rsidR="001D6E69" w:rsidRPr="003101B1">
        <w:rPr>
          <w:lang w:val="en-GB" w:eastAsia="ro-MD"/>
        </w:rPr>
        <w:t xml:space="preserve"> t</w:t>
      </w:r>
      <w:r w:rsidRPr="003101B1">
        <w:rPr>
          <w:lang w:val="en-GB" w:eastAsia="ro-MD"/>
        </w:rPr>
        <w:t>he text “</w:t>
      </w:r>
      <w:r w:rsidR="00293D86" w:rsidRPr="003101B1">
        <w:rPr>
          <w:lang w:val="en-GB" w:eastAsia="ro-MD"/>
        </w:rPr>
        <w:t xml:space="preserve">3) </w:t>
      </w:r>
      <w:r w:rsidRPr="003101B1">
        <w:rPr>
          <w:lang w:val="en-GB" w:eastAsia="ro-MD"/>
        </w:rPr>
        <w:t>and</w:t>
      </w:r>
      <w:r w:rsidR="00293D86" w:rsidRPr="003101B1">
        <w:rPr>
          <w:lang w:val="en-GB" w:eastAsia="ro-MD"/>
        </w:rPr>
        <w:t xml:space="preserve"> 4)” </w:t>
      </w:r>
      <w:r w:rsidR="000C6316" w:rsidRPr="003101B1">
        <w:rPr>
          <w:lang w:val="en-GB" w:eastAsia="ro-MD"/>
        </w:rPr>
        <w:t>shall be replaced by the text</w:t>
      </w:r>
      <w:r w:rsidR="00293D86" w:rsidRPr="003101B1">
        <w:rPr>
          <w:lang w:val="en-GB" w:eastAsia="ro-MD"/>
        </w:rPr>
        <w:t xml:space="preserve"> </w:t>
      </w:r>
      <w:r w:rsidR="000C6316" w:rsidRPr="003101B1">
        <w:rPr>
          <w:lang w:val="en-GB" w:eastAsia="ro-MD"/>
        </w:rPr>
        <w:t>“</w:t>
      </w:r>
      <w:r w:rsidR="00293D86" w:rsidRPr="003101B1">
        <w:rPr>
          <w:lang w:val="en-GB" w:eastAsia="ro-MD"/>
        </w:rPr>
        <w:t>3</w:t>
      </w:r>
      <w:r w:rsidR="00293D86" w:rsidRPr="003101B1">
        <w:rPr>
          <w:vertAlign w:val="superscript"/>
          <w:lang w:val="en-GB" w:eastAsia="ro-MD"/>
        </w:rPr>
        <w:t>1</w:t>
      </w:r>
      <w:r w:rsidR="00293D86" w:rsidRPr="003101B1">
        <w:rPr>
          <w:lang w:val="en-GB" w:eastAsia="ro-MD"/>
        </w:rPr>
        <w:t xml:space="preserve">) </w:t>
      </w:r>
      <w:r w:rsidR="00AF413A" w:rsidRPr="003101B1">
        <w:rPr>
          <w:lang w:val="en-GB" w:eastAsia="ro-MD"/>
        </w:rPr>
        <w:t>– 5)”.</w:t>
      </w:r>
    </w:p>
    <w:p w14:paraId="4900BBEC" w14:textId="23D46CCF" w:rsidR="00AF413A" w:rsidRPr="003101B1" w:rsidRDefault="000C6316" w:rsidP="009F684C">
      <w:pPr>
        <w:pStyle w:val="ListParagraph"/>
        <w:numPr>
          <w:ilvl w:val="1"/>
          <w:numId w:val="27"/>
        </w:numPr>
        <w:ind w:left="0" w:firstLine="567"/>
        <w:jc w:val="both"/>
        <w:rPr>
          <w:lang w:val="en-GB" w:eastAsia="ro-MD"/>
        </w:rPr>
      </w:pPr>
      <w:r w:rsidRPr="003101B1">
        <w:rPr>
          <w:lang w:val="en-GB" w:eastAsia="ro-MD"/>
        </w:rPr>
        <w:t>Paragraph</w:t>
      </w:r>
      <w:r w:rsidR="00AF413A" w:rsidRPr="003101B1">
        <w:rPr>
          <w:lang w:val="en-GB" w:eastAsia="ro-MD"/>
        </w:rPr>
        <w:t xml:space="preserve"> 135 </w:t>
      </w:r>
      <w:r w:rsidRPr="003101B1">
        <w:rPr>
          <w:lang w:val="en-GB" w:eastAsia="ro-MD"/>
        </w:rPr>
        <w:t>shall read as follows</w:t>
      </w:r>
      <w:r w:rsidR="00AF413A" w:rsidRPr="003101B1">
        <w:rPr>
          <w:lang w:val="en-GB" w:eastAsia="ro-MD"/>
        </w:rPr>
        <w:t>:</w:t>
      </w:r>
    </w:p>
    <w:p w14:paraId="40405993" w14:textId="539D6FEB" w:rsidR="00AF413A" w:rsidRPr="003101B1" w:rsidRDefault="000C6316" w:rsidP="00AF413A">
      <w:pPr>
        <w:jc w:val="both"/>
        <w:rPr>
          <w:lang w:val="en-GB" w:eastAsia="ro-MD"/>
        </w:rPr>
      </w:pPr>
      <w:r w:rsidRPr="003101B1">
        <w:rPr>
          <w:lang w:val="en-GB" w:eastAsia="ro-MD"/>
        </w:rPr>
        <w:t>“</w:t>
      </w:r>
      <w:r w:rsidR="00AF413A" w:rsidRPr="003101B1">
        <w:rPr>
          <w:b/>
          <w:bCs/>
          <w:lang w:val="en-GB" w:eastAsia="ro-MD"/>
        </w:rPr>
        <w:t>135.</w:t>
      </w:r>
      <w:r w:rsidR="00AF413A" w:rsidRPr="003101B1">
        <w:rPr>
          <w:lang w:val="en-GB" w:eastAsia="ro-MD"/>
        </w:rPr>
        <w:t xml:space="preserve"> </w:t>
      </w:r>
      <w:r w:rsidRPr="003101B1">
        <w:rPr>
          <w:lang w:val="en-GB" w:eastAsia="ro-MD"/>
        </w:rPr>
        <w:t xml:space="preserve">Banks may replace the capital requirement referred to in paragraph 132 sub-paragraph 2) by a capital requirement calculated in accordance with paragraph </w:t>
      </w:r>
      <w:r w:rsidR="00AF413A" w:rsidRPr="003101B1">
        <w:rPr>
          <w:lang w:val="en-GB" w:eastAsia="ro-MD"/>
        </w:rPr>
        <w:t>135</w:t>
      </w:r>
      <w:r w:rsidR="00AF413A" w:rsidRPr="003101B1">
        <w:rPr>
          <w:vertAlign w:val="superscript"/>
          <w:lang w:val="en-GB" w:eastAsia="ro-MD"/>
        </w:rPr>
        <w:t>1</w:t>
      </w:r>
      <w:r w:rsidR="00AF413A" w:rsidRPr="003101B1">
        <w:rPr>
          <w:lang w:val="en-GB" w:eastAsia="ro-MD"/>
        </w:rPr>
        <w:t xml:space="preserve"> </w:t>
      </w:r>
      <w:r w:rsidRPr="003101B1">
        <w:rPr>
          <w:lang w:val="en-GB" w:eastAsia="ro-MD"/>
        </w:rPr>
        <w:t>in respect of their trading-book business, provided that the size of their on- and off-balance-sheet trading-book business is equal to or less than the following thresholds, on the basis of an assessment carried out on a monthly basis using data as of the last day of that month</w:t>
      </w:r>
      <w:r w:rsidR="006924CC" w:rsidRPr="003101B1">
        <w:rPr>
          <w:lang w:val="en-GB" w:eastAsia="ro-MD"/>
        </w:rPr>
        <w:t>:</w:t>
      </w:r>
    </w:p>
    <w:p w14:paraId="28768356" w14:textId="50873FAD" w:rsidR="006924CC" w:rsidRPr="003101B1" w:rsidRDefault="006924CC" w:rsidP="00AF413A">
      <w:pPr>
        <w:jc w:val="both"/>
        <w:rPr>
          <w:lang w:val="en-GB" w:eastAsia="ro-MD"/>
        </w:rPr>
      </w:pPr>
      <w:r w:rsidRPr="003101B1">
        <w:rPr>
          <w:lang w:val="en-GB" w:eastAsia="ro-MD"/>
        </w:rPr>
        <w:t>1)</w:t>
      </w:r>
      <w:r w:rsidR="00AF413A" w:rsidRPr="003101B1">
        <w:rPr>
          <w:lang w:val="en-GB" w:eastAsia="ro-MD"/>
        </w:rPr>
        <w:t xml:space="preserve"> </w:t>
      </w:r>
      <w:r w:rsidR="000C6316" w:rsidRPr="003101B1">
        <w:rPr>
          <w:lang w:val="en-GB" w:eastAsia="ro-MD"/>
        </w:rPr>
        <w:t>5 % of the bank's total assets</w:t>
      </w:r>
      <w:r w:rsidRPr="003101B1">
        <w:rPr>
          <w:lang w:val="en-GB" w:eastAsia="ro-MD"/>
        </w:rPr>
        <w:t>;</w:t>
      </w:r>
    </w:p>
    <w:p w14:paraId="5D9024EB" w14:textId="396D1075" w:rsidR="00AF413A" w:rsidRPr="003101B1" w:rsidRDefault="006924CC" w:rsidP="00AF413A">
      <w:pPr>
        <w:jc w:val="both"/>
        <w:rPr>
          <w:lang w:val="en-GB" w:eastAsia="ro-MD"/>
        </w:rPr>
      </w:pPr>
      <w:r w:rsidRPr="003101B1">
        <w:rPr>
          <w:lang w:val="en-GB" w:eastAsia="ro-MD"/>
        </w:rPr>
        <w:t>2)</w:t>
      </w:r>
      <w:r w:rsidR="00AF413A" w:rsidRPr="003101B1">
        <w:rPr>
          <w:lang w:val="en-GB" w:eastAsia="ro-MD"/>
        </w:rPr>
        <w:t xml:space="preserve"> </w:t>
      </w:r>
      <w:r w:rsidR="000C6316" w:rsidRPr="003101B1">
        <w:rPr>
          <w:lang w:val="en-GB" w:eastAsia="ro-MD"/>
        </w:rPr>
        <w:t>MDL equivalent of EUR 50 million</w:t>
      </w:r>
      <w:r w:rsidR="00AF413A" w:rsidRPr="003101B1">
        <w:rPr>
          <w:lang w:val="en-GB" w:eastAsia="ro-MD"/>
        </w:rPr>
        <w:t>.”</w:t>
      </w:r>
      <w:r w:rsidR="00BE68E3" w:rsidRPr="003101B1">
        <w:rPr>
          <w:lang w:val="en-GB" w:eastAsia="ro-MD"/>
        </w:rPr>
        <w:t>.</w:t>
      </w:r>
    </w:p>
    <w:p w14:paraId="74077278" w14:textId="03809207" w:rsidR="00AF413A" w:rsidRPr="003101B1" w:rsidRDefault="000C6316"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AF413A" w:rsidRPr="003101B1">
        <w:rPr>
          <w:lang w:val="en-GB" w:eastAsia="ro-MD"/>
        </w:rPr>
        <w:t xml:space="preserve"> 135</w:t>
      </w:r>
      <w:r w:rsidR="00AF413A" w:rsidRPr="003101B1">
        <w:rPr>
          <w:vertAlign w:val="superscript"/>
          <w:lang w:val="en-GB" w:eastAsia="ro-MD"/>
        </w:rPr>
        <w:t>1</w:t>
      </w:r>
      <w:r w:rsidR="00AF413A" w:rsidRPr="003101B1">
        <w:rPr>
          <w:lang w:val="en-GB" w:eastAsia="ro-MD"/>
        </w:rPr>
        <w:t xml:space="preserve"> </w:t>
      </w:r>
      <w:r w:rsidRPr="003101B1">
        <w:rPr>
          <w:lang w:val="en-GB" w:eastAsia="ro-MD"/>
        </w:rPr>
        <w:t>shall be added with the following text</w:t>
      </w:r>
      <w:r w:rsidR="00AF413A" w:rsidRPr="003101B1">
        <w:rPr>
          <w:lang w:val="en-GB" w:eastAsia="ro-MD"/>
        </w:rPr>
        <w:t>:</w:t>
      </w:r>
    </w:p>
    <w:p w14:paraId="699A553A" w14:textId="6302ABC1" w:rsidR="00AF413A" w:rsidRPr="003101B1" w:rsidRDefault="000C6316" w:rsidP="00AF413A">
      <w:pPr>
        <w:jc w:val="both"/>
        <w:rPr>
          <w:lang w:val="en-GB" w:eastAsia="ro-MD"/>
        </w:rPr>
      </w:pPr>
      <w:r w:rsidRPr="003101B1">
        <w:rPr>
          <w:lang w:val="en-GB" w:eastAsia="ro-MD"/>
        </w:rPr>
        <w:t>“</w:t>
      </w:r>
      <w:r w:rsidR="00AF413A" w:rsidRPr="003101B1">
        <w:rPr>
          <w:b/>
          <w:bCs/>
          <w:lang w:val="en-GB" w:eastAsia="ro-MD"/>
        </w:rPr>
        <w:t>135</w:t>
      </w:r>
      <w:r w:rsidR="00AF413A" w:rsidRPr="003101B1">
        <w:rPr>
          <w:b/>
          <w:bCs/>
          <w:vertAlign w:val="superscript"/>
          <w:lang w:val="en-GB" w:eastAsia="ro-MD"/>
        </w:rPr>
        <w:t>1</w:t>
      </w:r>
      <w:r w:rsidR="00AF413A" w:rsidRPr="003101B1">
        <w:rPr>
          <w:b/>
          <w:bCs/>
          <w:lang w:val="en-GB" w:eastAsia="ro-MD"/>
        </w:rPr>
        <w:t xml:space="preserve">. </w:t>
      </w:r>
      <w:r w:rsidR="009D19A8" w:rsidRPr="003101B1">
        <w:rPr>
          <w:lang w:val="en-GB" w:eastAsia="ro-MD"/>
        </w:rPr>
        <w:t>Where both conditions set out in paragraph 135 are met, banks may calculate the own funds requirement for the trading book as follows</w:t>
      </w:r>
      <w:r w:rsidR="00AF413A" w:rsidRPr="003101B1">
        <w:rPr>
          <w:lang w:val="en-GB" w:eastAsia="ro-MD"/>
        </w:rPr>
        <w:t>:</w:t>
      </w:r>
    </w:p>
    <w:p w14:paraId="60C4817D" w14:textId="1835AEC2" w:rsidR="00AF413A" w:rsidRPr="003101B1" w:rsidRDefault="00AF413A" w:rsidP="00AF413A">
      <w:pPr>
        <w:jc w:val="both"/>
        <w:rPr>
          <w:lang w:val="en-GB" w:eastAsia="ro-MD"/>
        </w:rPr>
      </w:pPr>
      <w:r w:rsidRPr="003101B1">
        <w:rPr>
          <w:lang w:val="en-GB" w:eastAsia="ro-MD"/>
        </w:rPr>
        <w:t xml:space="preserve">1) </w:t>
      </w:r>
      <w:r w:rsidR="009D19A8" w:rsidRPr="003101B1">
        <w:rPr>
          <w:lang w:val="en-GB" w:eastAsia="ro-MD"/>
        </w:rPr>
        <w:t xml:space="preserve">for contracts listed in Annex 1, paragraph 1, of Regulation No 114/2018, contracts relating to equities referred to in paragraph 3 of that Annex and credit derivatives, institutions may exclude those positions from the own funds requirement referred to in paragraph 132 sub-paragraph </w:t>
      </w:r>
      <w:r w:rsidRPr="003101B1">
        <w:rPr>
          <w:lang w:val="en-GB" w:eastAsia="ro-MD"/>
        </w:rPr>
        <w:t>2);</w:t>
      </w:r>
    </w:p>
    <w:p w14:paraId="2BE71993" w14:textId="639B9D37" w:rsidR="00AF413A" w:rsidRPr="003101B1" w:rsidRDefault="00AF413A" w:rsidP="00AF413A">
      <w:pPr>
        <w:jc w:val="both"/>
        <w:rPr>
          <w:lang w:val="en-GB" w:eastAsia="ro-MD"/>
        </w:rPr>
      </w:pPr>
      <w:r w:rsidRPr="003101B1">
        <w:rPr>
          <w:lang w:val="en-GB" w:eastAsia="ro-MD"/>
        </w:rPr>
        <w:t xml:space="preserve">2) </w:t>
      </w:r>
      <w:r w:rsidR="009D19A8" w:rsidRPr="003101B1">
        <w:rPr>
          <w:lang w:val="en-GB" w:eastAsia="ro-MD"/>
        </w:rPr>
        <w:t xml:space="preserve">for trading book positions other than those referred to in sub-paragraph 1), banks may replace the own funds requirement referred to in paragraph 132 sub-paragraph 2) with the requirement calculated in accordance with paragraph 132 </w:t>
      </w:r>
      <w:r w:rsidR="00AC31AF">
        <w:rPr>
          <w:lang w:val="en-GB" w:eastAsia="ro-MD"/>
        </w:rPr>
        <w:t xml:space="preserve">sub-paragraph </w:t>
      </w:r>
      <w:r w:rsidR="009D19A8" w:rsidRPr="003101B1">
        <w:rPr>
          <w:lang w:val="en-GB" w:eastAsia="ro-MD"/>
        </w:rPr>
        <w:t xml:space="preserve">1) and paragraph </w:t>
      </w:r>
      <w:r w:rsidRPr="003101B1">
        <w:rPr>
          <w:lang w:val="en-GB" w:eastAsia="ro-MD"/>
        </w:rPr>
        <w:t>132</w:t>
      </w:r>
      <w:r w:rsidRPr="003101B1">
        <w:rPr>
          <w:vertAlign w:val="superscript"/>
          <w:lang w:val="en-GB" w:eastAsia="ro-MD"/>
        </w:rPr>
        <w:t>1</w:t>
      </w:r>
      <w:r w:rsidRPr="003101B1">
        <w:rPr>
          <w:lang w:val="en-GB" w:eastAsia="ro-MD"/>
        </w:rPr>
        <w:t>.”.</w:t>
      </w:r>
    </w:p>
    <w:p w14:paraId="335A4E84" w14:textId="5E12CF69" w:rsidR="00543948" w:rsidRPr="003101B1" w:rsidRDefault="009D19A8" w:rsidP="00C936FF">
      <w:pPr>
        <w:pStyle w:val="ListParagraph"/>
        <w:numPr>
          <w:ilvl w:val="1"/>
          <w:numId w:val="27"/>
        </w:numPr>
        <w:spacing w:before="80"/>
        <w:ind w:left="0" w:firstLine="567"/>
        <w:contextualSpacing w:val="0"/>
        <w:jc w:val="both"/>
        <w:rPr>
          <w:lang w:val="en-GB" w:eastAsia="ro-MD"/>
        </w:rPr>
      </w:pPr>
      <w:bookmarkStart w:id="22" w:name="_Hlk206776312"/>
      <w:r w:rsidRPr="003101B1">
        <w:rPr>
          <w:lang w:val="en-GB" w:eastAsia="ro-MD"/>
        </w:rPr>
        <w:t>Paragraph</w:t>
      </w:r>
      <w:r w:rsidR="00543948" w:rsidRPr="003101B1">
        <w:rPr>
          <w:lang w:val="en-GB" w:eastAsia="ro-MD"/>
        </w:rPr>
        <w:t xml:space="preserve"> 136 </w:t>
      </w:r>
      <w:r w:rsidRPr="003101B1">
        <w:rPr>
          <w:lang w:val="en-GB" w:eastAsia="ro-MD"/>
        </w:rPr>
        <w:t>shall read as follows</w:t>
      </w:r>
      <w:r w:rsidR="00543948" w:rsidRPr="003101B1">
        <w:rPr>
          <w:lang w:val="en-GB" w:eastAsia="ro-MD"/>
        </w:rPr>
        <w:t>:</w:t>
      </w:r>
      <w:bookmarkEnd w:id="22"/>
    </w:p>
    <w:p w14:paraId="5FF7FB10" w14:textId="1370DBD8" w:rsidR="00543948" w:rsidRPr="003101B1" w:rsidRDefault="009D19A8" w:rsidP="00543948">
      <w:pPr>
        <w:jc w:val="both"/>
        <w:rPr>
          <w:lang w:val="en-GB" w:eastAsia="ro-MD"/>
        </w:rPr>
      </w:pPr>
      <w:r w:rsidRPr="003101B1">
        <w:rPr>
          <w:lang w:val="en-GB" w:eastAsia="ro-MD"/>
        </w:rPr>
        <w:t>“</w:t>
      </w:r>
      <w:r w:rsidR="00543948" w:rsidRPr="003101B1">
        <w:rPr>
          <w:b/>
          <w:bCs/>
          <w:lang w:val="en-GB" w:eastAsia="ro-MD"/>
        </w:rPr>
        <w:t>136.</w:t>
      </w:r>
      <w:r w:rsidR="00543948" w:rsidRPr="003101B1">
        <w:rPr>
          <w:lang w:val="en-GB" w:eastAsia="ro-MD"/>
        </w:rPr>
        <w:t xml:space="preserve"> </w:t>
      </w:r>
      <w:r w:rsidRPr="003101B1">
        <w:rPr>
          <w:lang w:val="en-GB" w:eastAsia="ro-MD"/>
        </w:rPr>
        <w:t>When assessing the size of on- and off-balance sheet operations, banks shall apply the following requirements:</w:t>
      </w:r>
    </w:p>
    <w:p w14:paraId="3301343B" w14:textId="7F3DB955" w:rsidR="00543948" w:rsidRPr="003101B1" w:rsidRDefault="00872CBE" w:rsidP="00543948">
      <w:pPr>
        <w:jc w:val="both"/>
        <w:rPr>
          <w:lang w:val="en-GB" w:eastAsia="ro-MD"/>
        </w:rPr>
      </w:pPr>
      <w:r w:rsidRPr="003101B1">
        <w:rPr>
          <w:lang w:val="en-GB" w:eastAsia="ro-MD"/>
        </w:rPr>
        <w:t>1</w:t>
      </w:r>
      <w:r w:rsidR="00543948" w:rsidRPr="003101B1">
        <w:rPr>
          <w:lang w:val="en-GB" w:eastAsia="ro-MD"/>
        </w:rPr>
        <w:t xml:space="preserve">) </w:t>
      </w:r>
      <w:r w:rsidR="009D19A8" w:rsidRPr="003101B1">
        <w:rPr>
          <w:lang w:val="en-GB" w:eastAsia="ro-MD"/>
        </w:rPr>
        <w:t>all the positions assigned to the trading book in accordance with Regulation No 114/2018 shall be included in the calculation, except for the following</w:t>
      </w:r>
      <w:r w:rsidR="00543948" w:rsidRPr="003101B1">
        <w:rPr>
          <w:lang w:val="en-GB" w:eastAsia="ro-MD"/>
        </w:rPr>
        <w:t>:</w:t>
      </w:r>
    </w:p>
    <w:p w14:paraId="503D975F" w14:textId="2A44F980" w:rsidR="00543948" w:rsidRPr="003101B1" w:rsidRDefault="00543948" w:rsidP="00543948">
      <w:pPr>
        <w:jc w:val="both"/>
        <w:rPr>
          <w:lang w:val="en-GB" w:eastAsia="ro-MD"/>
        </w:rPr>
      </w:pPr>
      <w:r w:rsidRPr="003101B1">
        <w:rPr>
          <w:lang w:val="en-GB" w:eastAsia="ro-MD"/>
        </w:rPr>
        <w:t xml:space="preserve">a) </w:t>
      </w:r>
      <w:r w:rsidR="009D19A8" w:rsidRPr="003101B1">
        <w:rPr>
          <w:lang w:val="en-GB" w:eastAsia="ro-MD"/>
        </w:rPr>
        <w:t>positions concerning foreign exchange and commodities</w:t>
      </w:r>
      <w:r w:rsidRPr="003101B1">
        <w:rPr>
          <w:lang w:val="en-GB" w:eastAsia="ro-MD"/>
        </w:rPr>
        <w:t>;</w:t>
      </w:r>
    </w:p>
    <w:p w14:paraId="65E4EC7A" w14:textId="24865830" w:rsidR="00543948" w:rsidRPr="003101B1" w:rsidRDefault="00543948" w:rsidP="00543948">
      <w:pPr>
        <w:jc w:val="both"/>
        <w:rPr>
          <w:lang w:val="en-GB" w:eastAsia="ro-MD"/>
        </w:rPr>
      </w:pPr>
      <w:r w:rsidRPr="003101B1">
        <w:rPr>
          <w:lang w:val="en-GB" w:eastAsia="ro-MD"/>
        </w:rPr>
        <w:t xml:space="preserve">b) </w:t>
      </w:r>
      <w:r w:rsidR="009D19A8" w:rsidRPr="003101B1">
        <w:rPr>
          <w:lang w:val="en-GB" w:eastAsia="ro-MD"/>
        </w:rPr>
        <w:t>positions in credit derivatives that are recognised as internal hedges against non-trading book credit risk exposures or counterparty risk exposures and the credit derivate transactions that perfectly offset the market risk of those internal hedges as referred to in Regulation No 114/2018</w:t>
      </w:r>
      <w:r w:rsidRPr="003101B1">
        <w:rPr>
          <w:lang w:val="en-GB" w:eastAsia="ro-MD"/>
        </w:rPr>
        <w:t>;</w:t>
      </w:r>
    </w:p>
    <w:p w14:paraId="1A5103C7" w14:textId="392E2483" w:rsidR="00543948" w:rsidRPr="003101B1" w:rsidRDefault="00872CBE" w:rsidP="00543948">
      <w:pPr>
        <w:jc w:val="both"/>
        <w:rPr>
          <w:lang w:val="en-GB" w:eastAsia="ro-MD"/>
        </w:rPr>
      </w:pPr>
      <w:r w:rsidRPr="003101B1">
        <w:rPr>
          <w:lang w:val="en-GB" w:eastAsia="ro-MD"/>
        </w:rPr>
        <w:t>2</w:t>
      </w:r>
      <w:r w:rsidR="00543948" w:rsidRPr="003101B1">
        <w:rPr>
          <w:lang w:val="en-GB" w:eastAsia="ro-MD"/>
        </w:rPr>
        <w:t xml:space="preserve">) </w:t>
      </w:r>
      <w:r w:rsidR="009D19A8" w:rsidRPr="003101B1">
        <w:rPr>
          <w:lang w:val="en-GB" w:eastAsia="ro-MD"/>
        </w:rPr>
        <w:t>all positions included in the calculation in accordance with sub-paragraph 1) shall be valued at their market value at that date; where the market value of a position is not available on a given date, banks shall take a fair value for that position on that date; where the market value and fair value of a position are not available on a given date, banks shall take the most recent market value or fair value for that position</w:t>
      </w:r>
      <w:r w:rsidR="00543948" w:rsidRPr="003101B1">
        <w:rPr>
          <w:lang w:val="en-GB" w:eastAsia="ro-MD"/>
        </w:rPr>
        <w:t>;</w:t>
      </w:r>
    </w:p>
    <w:p w14:paraId="310A9BA5" w14:textId="007CBBC0" w:rsidR="00543948" w:rsidRPr="003101B1" w:rsidRDefault="00872CBE" w:rsidP="00543948">
      <w:pPr>
        <w:jc w:val="both"/>
        <w:rPr>
          <w:lang w:val="en-GB" w:eastAsia="ro-MD"/>
        </w:rPr>
      </w:pPr>
      <w:r w:rsidRPr="003101B1">
        <w:rPr>
          <w:lang w:val="en-GB" w:eastAsia="ro-MD"/>
        </w:rPr>
        <w:t>3</w:t>
      </w:r>
      <w:r w:rsidR="00543948" w:rsidRPr="003101B1">
        <w:rPr>
          <w:lang w:val="en-GB" w:eastAsia="ro-MD"/>
        </w:rPr>
        <w:t xml:space="preserve">) </w:t>
      </w:r>
      <w:r w:rsidR="009D19A8" w:rsidRPr="003101B1">
        <w:rPr>
          <w:lang w:val="en-GB" w:eastAsia="ro-MD"/>
        </w:rPr>
        <w:t>the absolute value of the aggregated long position shall be summed with the absolute value of the aggregated short position</w:t>
      </w:r>
      <w:r w:rsidR="00543948" w:rsidRPr="003101B1">
        <w:rPr>
          <w:lang w:val="en-GB" w:eastAsia="ro-MD"/>
        </w:rPr>
        <w:t>.</w:t>
      </w:r>
    </w:p>
    <w:p w14:paraId="7F01E52D" w14:textId="39D59A6D" w:rsidR="00543948" w:rsidRPr="003101B1" w:rsidRDefault="009D19A8" w:rsidP="00543948">
      <w:pPr>
        <w:jc w:val="both"/>
        <w:rPr>
          <w:lang w:val="en-GB" w:eastAsia="ro-MD"/>
        </w:rPr>
      </w:pPr>
      <w:r w:rsidRPr="003101B1">
        <w:rPr>
          <w:lang w:val="en-GB" w:eastAsia="ro-MD"/>
        </w:rPr>
        <w:t>A long position is one where the market value of the position increases when the value of its main risk driver increases, and a short position is one where the market value of the position decreases when the value of its main risk driver increases</w:t>
      </w:r>
      <w:r w:rsidR="00543948" w:rsidRPr="003101B1">
        <w:rPr>
          <w:lang w:val="en-GB" w:eastAsia="ro-MD"/>
        </w:rPr>
        <w:t>.</w:t>
      </w:r>
    </w:p>
    <w:p w14:paraId="06C1E032" w14:textId="7C11EB43" w:rsidR="00543948" w:rsidRPr="003101B1" w:rsidRDefault="009D19A8" w:rsidP="00543948">
      <w:pPr>
        <w:jc w:val="both"/>
        <w:rPr>
          <w:sz w:val="18"/>
          <w:szCs w:val="18"/>
          <w:lang w:val="en-GB" w:eastAsia="ro-MD"/>
        </w:rPr>
      </w:pPr>
      <w:r w:rsidRPr="003101B1">
        <w:rPr>
          <w:lang w:val="en-GB" w:eastAsia="ro-MD"/>
        </w:rPr>
        <w:t xml:space="preserve">The value of the aggregated long position, respectively the aggregated short position, shall be equal to the sum of the values of the individual long positions, respectively the individual short positions, included in the calculation in accordance with sub-paragraph </w:t>
      </w:r>
      <w:r w:rsidR="00543948" w:rsidRPr="003101B1">
        <w:rPr>
          <w:lang w:val="en-GB" w:eastAsia="ro-MD"/>
        </w:rPr>
        <w:t>1).</w:t>
      </w:r>
      <w:r w:rsidR="00543948" w:rsidRPr="003101B1">
        <w:rPr>
          <w:sz w:val="18"/>
          <w:szCs w:val="18"/>
          <w:lang w:val="en-GB" w:eastAsia="ro-MD"/>
        </w:rPr>
        <w:t>”.</w:t>
      </w:r>
    </w:p>
    <w:p w14:paraId="493B4FE6" w14:textId="5704977D" w:rsidR="001C7868" w:rsidRPr="003101B1" w:rsidRDefault="009D19A8"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1C7868" w:rsidRPr="003101B1">
        <w:rPr>
          <w:lang w:val="en-GB" w:eastAsia="ro-MD"/>
        </w:rPr>
        <w:t xml:space="preserve"> 136</w:t>
      </w:r>
      <w:r w:rsidR="001C7868" w:rsidRPr="003101B1">
        <w:rPr>
          <w:vertAlign w:val="superscript"/>
          <w:lang w:val="en-GB" w:eastAsia="ro-MD"/>
        </w:rPr>
        <w:t>1</w:t>
      </w:r>
      <w:r w:rsidR="001C7868" w:rsidRPr="003101B1">
        <w:rPr>
          <w:lang w:val="en-GB" w:eastAsia="ro-MD"/>
        </w:rPr>
        <w:t xml:space="preserve"> </w:t>
      </w:r>
      <w:r w:rsidRPr="003101B1">
        <w:rPr>
          <w:lang w:val="en-GB" w:eastAsia="ro-MD"/>
        </w:rPr>
        <w:t>shall be added with the following content</w:t>
      </w:r>
      <w:r w:rsidR="001C7868" w:rsidRPr="003101B1">
        <w:rPr>
          <w:lang w:val="en-GB" w:eastAsia="ro-MD"/>
        </w:rPr>
        <w:t>:</w:t>
      </w:r>
    </w:p>
    <w:p w14:paraId="33ECF28A" w14:textId="123B1037" w:rsidR="001C7868" w:rsidRPr="003101B1" w:rsidRDefault="009D19A8" w:rsidP="001C7868">
      <w:pPr>
        <w:jc w:val="both"/>
        <w:rPr>
          <w:lang w:val="en-GB" w:eastAsia="ro-MD"/>
        </w:rPr>
      </w:pPr>
      <w:r w:rsidRPr="003101B1">
        <w:rPr>
          <w:lang w:val="en-GB" w:eastAsia="ro-MD"/>
        </w:rPr>
        <w:t>“</w:t>
      </w:r>
      <w:r w:rsidR="001C7868" w:rsidRPr="003101B1">
        <w:rPr>
          <w:b/>
          <w:bCs/>
          <w:lang w:val="en-GB" w:eastAsia="ro-MD"/>
        </w:rPr>
        <w:t>136</w:t>
      </w:r>
      <w:r w:rsidR="001C7868" w:rsidRPr="003101B1">
        <w:rPr>
          <w:b/>
          <w:bCs/>
          <w:vertAlign w:val="superscript"/>
          <w:lang w:val="en-GB" w:eastAsia="ro-MD"/>
        </w:rPr>
        <w:t>1</w:t>
      </w:r>
      <w:r w:rsidR="001C7868" w:rsidRPr="003101B1">
        <w:rPr>
          <w:b/>
          <w:bCs/>
          <w:lang w:val="en-GB" w:eastAsia="ro-MD"/>
        </w:rPr>
        <w:t>.</w:t>
      </w:r>
      <w:r w:rsidR="001C7868" w:rsidRPr="003101B1">
        <w:rPr>
          <w:lang w:val="en-GB" w:eastAsia="ro-MD"/>
        </w:rPr>
        <w:t xml:space="preserve"> </w:t>
      </w:r>
      <w:r w:rsidR="00E63D0B" w:rsidRPr="003101B1">
        <w:rPr>
          <w:lang w:val="en-GB" w:eastAsia="ro-MD"/>
        </w:rPr>
        <w:t>Where both conditions set out in paragraph 135 are met, the requirements for trading book management set out in Regulation No 114/2018 do not apply</w:t>
      </w:r>
      <w:r w:rsidR="001C7868" w:rsidRPr="003101B1">
        <w:rPr>
          <w:lang w:val="en-GB" w:eastAsia="ro-MD"/>
        </w:rPr>
        <w:t>.”.</w:t>
      </w:r>
    </w:p>
    <w:p w14:paraId="79258BAC" w14:textId="3E44112D" w:rsidR="00543948" w:rsidRPr="003101B1" w:rsidRDefault="00E63D0B"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1C7868" w:rsidRPr="003101B1">
        <w:rPr>
          <w:lang w:val="en-GB" w:eastAsia="ro-MD"/>
        </w:rPr>
        <w:t xml:space="preserve"> 137 </w:t>
      </w:r>
      <w:r w:rsidRPr="003101B1">
        <w:rPr>
          <w:lang w:val="en-GB" w:eastAsia="ro-MD"/>
        </w:rPr>
        <w:t>shall read as follows</w:t>
      </w:r>
      <w:r w:rsidR="001C7868" w:rsidRPr="003101B1">
        <w:rPr>
          <w:lang w:val="en-GB" w:eastAsia="ro-MD"/>
        </w:rPr>
        <w:t>:</w:t>
      </w:r>
    </w:p>
    <w:p w14:paraId="099AC4C1" w14:textId="4808ED05" w:rsidR="001C7868" w:rsidRPr="003101B1" w:rsidRDefault="00E63D0B" w:rsidP="001C7868">
      <w:pPr>
        <w:jc w:val="both"/>
        <w:rPr>
          <w:lang w:val="en-GB" w:eastAsia="ro-MD"/>
        </w:rPr>
      </w:pPr>
      <w:r w:rsidRPr="003101B1">
        <w:rPr>
          <w:lang w:val="en-GB" w:eastAsia="ro-MD"/>
        </w:rPr>
        <w:t>“</w:t>
      </w:r>
      <w:r w:rsidR="001C7868" w:rsidRPr="003101B1">
        <w:rPr>
          <w:b/>
          <w:bCs/>
          <w:lang w:val="en-GB" w:eastAsia="ro-MD"/>
        </w:rPr>
        <w:t>137.</w:t>
      </w:r>
      <w:r w:rsidR="001C7868" w:rsidRPr="003101B1">
        <w:rPr>
          <w:lang w:val="en-GB" w:eastAsia="ro-MD"/>
        </w:rPr>
        <w:t xml:space="preserve"> </w:t>
      </w:r>
      <w:r w:rsidRPr="003101B1">
        <w:rPr>
          <w:lang w:val="en-GB" w:eastAsia="ro-MD"/>
        </w:rPr>
        <w:t>Banks shall immediately notify the National Bank of Moldova in writing when they calculate, or cease to calculate, the own funds requirements for their trading book in accordance with paragraph</w:t>
      </w:r>
      <w:r w:rsidR="001C7868" w:rsidRPr="003101B1">
        <w:rPr>
          <w:lang w:val="en-GB" w:eastAsia="ro-MD"/>
        </w:rPr>
        <w:t xml:space="preserve"> 135</w:t>
      </w:r>
      <w:r w:rsidR="001C7868" w:rsidRPr="003101B1">
        <w:rPr>
          <w:vertAlign w:val="superscript"/>
          <w:lang w:val="en-GB" w:eastAsia="ro-MD"/>
        </w:rPr>
        <w:t>1</w:t>
      </w:r>
      <w:r w:rsidR="001C7868" w:rsidRPr="003101B1">
        <w:rPr>
          <w:lang w:val="en-GB" w:eastAsia="ro-MD"/>
        </w:rPr>
        <w:t xml:space="preserve">. </w:t>
      </w:r>
      <w:r w:rsidRPr="003101B1">
        <w:rPr>
          <w:lang w:val="en-GB" w:eastAsia="ro-MD"/>
        </w:rPr>
        <w:t xml:space="preserve">If a bank no longer meets the conditions in paragraph </w:t>
      </w:r>
      <w:r w:rsidR="001C7868" w:rsidRPr="003101B1">
        <w:rPr>
          <w:lang w:val="en-GB" w:eastAsia="ro-MD"/>
        </w:rPr>
        <w:t xml:space="preserve">135, </w:t>
      </w:r>
      <w:r w:rsidRPr="003101B1">
        <w:rPr>
          <w:lang w:val="en-GB" w:eastAsia="ro-MD"/>
        </w:rPr>
        <w:t>it must immediately notify the National Bank of Moldova in writing. If, following notification, the National Bank of Moldova, following an assessment, finds that the bank does not meet the requirements of paragraph</w:t>
      </w:r>
      <w:r w:rsidR="001C7868" w:rsidRPr="003101B1">
        <w:rPr>
          <w:lang w:val="en-GB" w:eastAsia="ro-MD"/>
        </w:rPr>
        <w:t xml:space="preserve"> 135 </w:t>
      </w:r>
      <w:r w:rsidRPr="003101B1">
        <w:rPr>
          <w:lang w:val="en-GB" w:eastAsia="ro-MD"/>
        </w:rPr>
        <w:t>and informs the bank thereof, the bank will cease to apply paragraph</w:t>
      </w:r>
      <w:r w:rsidR="001C7868" w:rsidRPr="003101B1">
        <w:rPr>
          <w:lang w:val="en-GB" w:eastAsia="ro-MD"/>
        </w:rPr>
        <w:t xml:space="preserve"> 135 </w:t>
      </w:r>
      <w:r w:rsidRPr="003101B1">
        <w:rPr>
          <w:lang w:val="en-GB" w:eastAsia="ro-MD"/>
        </w:rPr>
        <w:t>as of the next reporting date</w:t>
      </w:r>
      <w:r w:rsidR="001C7868" w:rsidRPr="003101B1">
        <w:rPr>
          <w:lang w:val="en-GB" w:eastAsia="ro-MD"/>
        </w:rPr>
        <w:t>.”.</w:t>
      </w:r>
    </w:p>
    <w:p w14:paraId="19A29DE4" w14:textId="58293840" w:rsidR="001C7868" w:rsidRPr="003101B1" w:rsidRDefault="00E63D0B"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Paragraphs</w:t>
      </w:r>
      <w:r w:rsidR="001C7868" w:rsidRPr="003101B1">
        <w:rPr>
          <w:lang w:val="en-GB" w:eastAsia="ro-MD"/>
        </w:rPr>
        <w:t xml:space="preserve"> 137</w:t>
      </w:r>
      <w:r w:rsidR="001C7868" w:rsidRPr="003101B1">
        <w:rPr>
          <w:vertAlign w:val="superscript"/>
          <w:lang w:val="en-GB" w:eastAsia="ro-MD"/>
        </w:rPr>
        <w:t>1</w:t>
      </w:r>
      <w:r w:rsidR="001C7868" w:rsidRPr="003101B1">
        <w:rPr>
          <w:lang w:val="en-GB" w:eastAsia="ro-MD"/>
        </w:rPr>
        <w:t>, 137</w:t>
      </w:r>
      <w:r w:rsidR="001C7868" w:rsidRPr="003101B1">
        <w:rPr>
          <w:vertAlign w:val="superscript"/>
          <w:lang w:val="en-GB" w:eastAsia="ro-MD"/>
        </w:rPr>
        <w:t>2</w:t>
      </w:r>
      <w:r w:rsidR="001C7868" w:rsidRPr="003101B1">
        <w:rPr>
          <w:lang w:val="en-GB" w:eastAsia="ro-MD"/>
        </w:rPr>
        <w:t xml:space="preserve"> </w:t>
      </w:r>
      <w:r w:rsidRPr="003101B1">
        <w:rPr>
          <w:lang w:val="en-GB" w:eastAsia="ro-MD"/>
        </w:rPr>
        <w:t>and</w:t>
      </w:r>
      <w:r w:rsidR="001C7868" w:rsidRPr="003101B1">
        <w:rPr>
          <w:lang w:val="en-GB" w:eastAsia="ro-MD"/>
        </w:rPr>
        <w:t xml:space="preserve"> 137</w:t>
      </w:r>
      <w:r w:rsidR="001C7868" w:rsidRPr="003101B1">
        <w:rPr>
          <w:vertAlign w:val="superscript"/>
          <w:lang w:val="en-GB" w:eastAsia="ro-MD"/>
        </w:rPr>
        <w:t>3</w:t>
      </w:r>
      <w:r w:rsidR="001C7868" w:rsidRPr="003101B1">
        <w:rPr>
          <w:lang w:val="en-GB" w:eastAsia="ro-MD"/>
        </w:rPr>
        <w:t xml:space="preserve"> </w:t>
      </w:r>
      <w:r w:rsidRPr="003101B1">
        <w:rPr>
          <w:lang w:val="en-GB" w:eastAsia="ro-MD"/>
        </w:rPr>
        <w:t>shall be added with the following context</w:t>
      </w:r>
      <w:r w:rsidR="001C7868" w:rsidRPr="003101B1">
        <w:rPr>
          <w:lang w:val="en-GB" w:eastAsia="ro-MD"/>
        </w:rPr>
        <w:t>:</w:t>
      </w:r>
    </w:p>
    <w:p w14:paraId="0201DBA4" w14:textId="60D0B863" w:rsidR="001C7868" w:rsidRPr="003101B1" w:rsidRDefault="00E63D0B" w:rsidP="001C7868">
      <w:pPr>
        <w:jc w:val="both"/>
        <w:rPr>
          <w:lang w:val="en-GB" w:eastAsia="ro-MD"/>
        </w:rPr>
      </w:pPr>
      <w:r w:rsidRPr="003101B1">
        <w:rPr>
          <w:lang w:val="en-GB" w:eastAsia="ro-MD"/>
        </w:rPr>
        <w:t>“</w:t>
      </w:r>
      <w:r w:rsidR="001C7868" w:rsidRPr="003101B1">
        <w:rPr>
          <w:b/>
          <w:bCs/>
          <w:lang w:val="en-GB" w:eastAsia="ro-MD"/>
        </w:rPr>
        <w:t>137</w:t>
      </w:r>
      <w:r w:rsidR="001C7868" w:rsidRPr="003101B1">
        <w:rPr>
          <w:b/>
          <w:bCs/>
          <w:vertAlign w:val="superscript"/>
          <w:lang w:val="en-GB" w:eastAsia="ro-MD"/>
        </w:rPr>
        <w:t>1</w:t>
      </w:r>
      <w:r w:rsidR="001C7868" w:rsidRPr="003101B1">
        <w:rPr>
          <w:b/>
          <w:bCs/>
          <w:lang w:val="en-GB" w:eastAsia="ro-MD"/>
        </w:rPr>
        <w:t>.</w:t>
      </w:r>
      <w:r w:rsidR="001C7868" w:rsidRPr="003101B1">
        <w:rPr>
          <w:lang w:val="en-GB" w:eastAsia="ro-MD"/>
        </w:rPr>
        <w:t xml:space="preserve"> </w:t>
      </w:r>
      <w:r w:rsidRPr="003101B1">
        <w:rPr>
          <w:lang w:val="en-GB" w:eastAsia="ro-MD"/>
        </w:rPr>
        <w:t xml:space="preserve">A bank shall cease to calculate its own funds requirements for the trading book in accordance with paragraph </w:t>
      </w:r>
      <w:r w:rsidR="001C7868" w:rsidRPr="003101B1">
        <w:rPr>
          <w:lang w:val="en-GB" w:eastAsia="ro-MD"/>
        </w:rPr>
        <w:t>135</w:t>
      </w:r>
      <w:r w:rsidR="001C7868" w:rsidRPr="003101B1">
        <w:rPr>
          <w:vertAlign w:val="superscript"/>
          <w:lang w:val="en-GB" w:eastAsia="ro-MD"/>
        </w:rPr>
        <w:t xml:space="preserve">1 </w:t>
      </w:r>
      <w:r w:rsidRPr="003101B1">
        <w:rPr>
          <w:lang w:val="en-GB" w:eastAsia="ro-MD"/>
        </w:rPr>
        <w:t>within three months if any of the following occurs</w:t>
      </w:r>
      <w:r w:rsidR="001C7868" w:rsidRPr="003101B1">
        <w:rPr>
          <w:lang w:val="en-GB" w:eastAsia="ro-MD"/>
        </w:rPr>
        <w:t>:</w:t>
      </w:r>
    </w:p>
    <w:p w14:paraId="1C53D838" w14:textId="191BD332" w:rsidR="001C7868" w:rsidRPr="003101B1" w:rsidRDefault="001C7868" w:rsidP="001C7868">
      <w:pPr>
        <w:jc w:val="both"/>
        <w:rPr>
          <w:lang w:val="en-GB" w:eastAsia="ro-MD"/>
        </w:rPr>
      </w:pPr>
      <w:r w:rsidRPr="003101B1">
        <w:rPr>
          <w:lang w:val="en-GB" w:eastAsia="ro-MD"/>
        </w:rPr>
        <w:t xml:space="preserve">1) </w:t>
      </w:r>
      <w:r w:rsidR="00E63D0B" w:rsidRPr="003101B1">
        <w:rPr>
          <w:lang w:val="en-GB" w:eastAsia="ro-MD"/>
        </w:rPr>
        <w:t>the bank does not meet the conditions set out in paragraph 135 for three consecutive months</w:t>
      </w:r>
      <w:r w:rsidRPr="003101B1">
        <w:rPr>
          <w:lang w:val="en-GB" w:eastAsia="ro-MD"/>
        </w:rPr>
        <w:t>;</w:t>
      </w:r>
    </w:p>
    <w:p w14:paraId="579AA906" w14:textId="7DF354EB" w:rsidR="001C7868" w:rsidRPr="003101B1" w:rsidRDefault="001C7868" w:rsidP="001C7868">
      <w:pPr>
        <w:jc w:val="both"/>
        <w:rPr>
          <w:lang w:val="en-GB" w:eastAsia="ro-MD"/>
        </w:rPr>
      </w:pPr>
      <w:r w:rsidRPr="003101B1">
        <w:rPr>
          <w:lang w:val="en-GB" w:eastAsia="ro-MD"/>
        </w:rPr>
        <w:t xml:space="preserve">2) </w:t>
      </w:r>
      <w:r w:rsidR="00E63D0B" w:rsidRPr="003101B1">
        <w:rPr>
          <w:lang w:val="en-GB" w:eastAsia="ro-MD"/>
        </w:rPr>
        <w:t>the bank does not meet the conditions set out in paragraph 135 for more than six of the previous 12 months</w:t>
      </w:r>
      <w:r w:rsidRPr="003101B1">
        <w:rPr>
          <w:lang w:val="en-GB" w:eastAsia="ro-MD"/>
        </w:rPr>
        <w:t>.</w:t>
      </w:r>
    </w:p>
    <w:p w14:paraId="63533C78" w14:textId="382B5EA4" w:rsidR="001C7868" w:rsidRPr="003101B1" w:rsidRDefault="001C7868" w:rsidP="001C7868">
      <w:pPr>
        <w:jc w:val="both"/>
        <w:rPr>
          <w:lang w:val="en-GB" w:eastAsia="ro-MD"/>
        </w:rPr>
      </w:pPr>
      <w:r w:rsidRPr="003101B1">
        <w:rPr>
          <w:b/>
          <w:bCs/>
          <w:lang w:val="en-GB" w:eastAsia="ro-MD"/>
        </w:rPr>
        <w:t>137</w:t>
      </w:r>
      <w:r w:rsidRPr="003101B1">
        <w:rPr>
          <w:b/>
          <w:bCs/>
          <w:vertAlign w:val="superscript"/>
          <w:lang w:val="en-GB" w:eastAsia="ro-MD"/>
        </w:rPr>
        <w:t>2</w:t>
      </w:r>
      <w:r w:rsidRPr="003101B1">
        <w:rPr>
          <w:b/>
          <w:bCs/>
          <w:lang w:val="en-GB" w:eastAsia="ro-MD"/>
        </w:rPr>
        <w:t>.</w:t>
      </w:r>
      <w:r w:rsidRPr="003101B1">
        <w:rPr>
          <w:lang w:val="en-GB" w:eastAsia="ro-MD"/>
        </w:rPr>
        <w:t xml:space="preserve"> </w:t>
      </w:r>
      <w:r w:rsidR="00E63D0B" w:rsidRPr="003101B1">
        <w:rPr>
          <w:lang w:val="en-GB" w:eastAsia="ro-MD"/>
        </w:rPr>
        <w:t xml:space="preserve">Where a bank has ceased to calculate the own funds requirements for its trading book in accordance with paragraphs </w:t>
      </w:r>
      <w:r w:rsidRPr="003101B1">
        <w:rPr>
          <w:lang w:val="en-GB" w:eastAsia="ro-MD"/>
        </w:rPr>
        <w:t>135</w:t>
      </w:r>
      <w:r w:rsidRPr="003101B1">
        <w:rPr>
          <w:vertAlign w:val="superscript"/>
          <w:lang w:val="en-GB" w:eastAsia="ro-MD"/>
        </w:rPr>
        <w:t>1</w:t>
      </w:r>
      <w:r w:rsidRPr="003101B1">
        <w:rPr>
          <w:lang w:val="en-GB" w:eastAsia="ro-MD"/>
        </w:rPr>
        <w:t xml:space="preserve">, </w:t>
      </w:r>
      <w:r w:rsidR="00E63D0B" w:rsidRPr="003101B1">
        <w:rPr>
          <w:lang w:val="en-GB" w:eastAsia="ro-MD"/>
        </w:rPr>
        <w:t xml:space="preserve">it may only calculate the own funds requirements for its trading book in accordance with paragraph </w:t>
      </w:r>
      <w:r w:rsidRPr="003101B1">
        <w:rPr>
          <w:lang w:val="en-GB" w:eastAsia="ro-MD"/>
        </w:rPr>
        <w:t>135</w:t>
      </w:r>
      <w:r w:rsidRPr="003101B1">
        <w:rPr>
          <w:vertAlign w:val="superscript"/>
          <w:lang w:val="en-GB" w:eastAsia="ro-MD"/>
        </w:rPr>
        <w:t>1</w:t>
      </w:r>
      <w:r w:rsidRPr="003101B1">
        <w:rPr>
          <w:lang w:val="en-GB" w:eastAsia="ro-MD"/>
        </w:rPr>
        <w:t xml:space="preserve"> </w:t>
      </w:r>
      <w:r w:rsidR="00E63D0B" w:rsidRPr="003101B1">
        <w:rPr>
          <w:lang w:val="en-GB" w:eastAsia="ro-MD"/>
        </w:rPr>
        <w:t>if it demonstrates to the National Bank of Moldova that all the conditions set out in paragraph</w:t>
      </w:r>
      <w:r w:rsidRPr="003101B1">
        <w:rPr>
          <w:lang w:val="en-GB" w:eastAsia="ro-MD"/>
        </w:rPr>
        <w:t xml:space="preserve"> 135 </w:t>
      </w:r>
      <w:r w:rsidR="00E63D0B" w:rsidRPr="003101B1">
        <w:rPr>
          <w:lang w:val="en-GB" w:eastAsia="ro-MD"/>
        </w:rPr>
        <w:t>have been met for an uninterrupted period of one year</w:t>
      </w:r>
      <w:r w:rsidRPr="003101B1">
        <w:rPr>
          <w:lang w:val="en-GB" w:eastAsia="ro-MD"/>
        </w:rPr>
        <w:t>.</w:t>
      </w:r>
    </w:p>
    <w:p w14:paraId="0B43BA03" w14:textId="49777BC1" w:rsidR="001C7868" w:rsidRPr="003101B1" w:rsidRDefault="001C7868" w:rsidP="001C7868">
      <w:pPr>
        <w:jc w:val="both"/>
        <w:rPr>
          <w:lang w:val="en-GB" w:eastAsia="ro-MD"/>
        </w:rPr>
      </w:pPr>
      <w:r w:rsidRPr="003101B1">
        <w:rPr>
          <w:b/>
          <w:bCs/>
          <w:lang w:val="en-GB" w:eastAsia="ro-MD"/>
        </w:rPr>
        <w:t>137</w:t>
      </w:r>
      <w:r w:rsidRPr="003101B1">
        <w:rPr>
          <w:b/>
          <w:bCs/>
          <w:vertAlign w:val="superscript"/>
          <w:lang w:val="en-GB" w:eastAsia="ro-MD"/>
        </w:rPr>
        <w:t>3</w:t>
      </w:r>
      <w:r w:rsidRPr="003101B1">
        <w:rPr>
          <w:b/>
          <w:bCs/>
          <w:lang w:val="en-GB" w:eastAsia="ro-MD"/>
        </w:rPr>
        <w:t>.</w:t>
      </w:r>
      <w:r w:rsidRPr="003101B1">
        <w:rPr>
          <w:lang w:val="en-GB" w:eastAsia="ro-MD"/>
        </w:rPr>
        <w:t xml:space="preserve"> </w:t>
      </w:r>
      <w:r w:rsidR="00E63D0B" w:rsidRPr="003101B1">
        <w:rPr>
          <w:lang w:val="en-GB" w:eastAsia="ro-MD"/>
        </w:rPr>
        <w:t xml:space="preserve">Banks shall not enter into, buy or sell a trading book position for the sole purpose of complying with any of the conditions set out in paragraph </w:t>
      </w:r>
      <w:r w:rsidRPr="003101B1">
        <w:rPr>
          <w:lang w:val="en-GB" w:eastAsia="ro-MD"/>
        </w:rPr>
        <w:t xml:space="preserve">135 </w:t>
      </w:r>
      <w:r w:rsidR="00E63D0B" w:rsidRPr="003101B1">
        <w:rPr>
          <w:lang w:val="en-GB" w:eastAsia="ro-MD"/>
        </w:rPr>
        <w:t>during the monthly assessment</w:t>
      </w:r>
      <w:r w:rsidRPr="003101B1">
        <w:rPr>
          <w:lang w:val="en-GB" w:eastAsia="ro-MD"/>
        </w:rPr>
        <w:t>.”.</w:t>
      </w:r>
    </w:p>
    <w:p w14:paraId="6E937C53" w14:textId="04970020" w:rsidR="001C7868" w:rsidRPr="003101B1" w:rsidRDefault="00E63D0B" w:rsidP="00C936FF">
      <w:pPr>
        <w:pStyle w:val="ListParagraph"/>
        <w:numPr>
          <w:ilvl w:val="1"/>
          <w:numId w:val="27"/>
        </w:numPr>
        <w:spacing w:before="80"/>
        <w:ind w:left="0" w:firstLine="567"/>
        <w:contextualSpacing w:val="0"/>
        <w:jc w:val="both"/>
        <w:rPr>
          <w:lang w:val="en-GB" w:eastAsia="ro-MD"/>
        </w:rPr>
      </w:pPr>
      <w:r w:rsidRPr="003101B1">
        <w:rPr>
          <w:lang w:val="en-GB" w:eastAsia="ro-MD"/>
        </w:rPr>
        <w:t>Paragraph</w:t>
      </w:r>
      <w:r w:rsidR="001C7868" w:rsidRPr="003101B1">
        <w:rPr>
          <w:lang w:val="en-GB" w:eastAsia="ro-MD"/>
        </w:rPr>
        <w:t xml:space="preserve"> 138</w:t>
      </w:r>
      <w:r w:rsidR="001C7868" w:rsidRPr="003101B1">
        <w:rPr>
          <w:vertAlign w:val="superscript"/>
          <w:lang w:val="en-GB" w:eastAsia="ro-MD"/>
        </w:rPr>
        <w:t xml:space="preserve">1 </w:t>
      </w:r>
      <w:r w:rsidRPr="003101B1">
        <w:rPr>
          <w:lang w:val="en-GB" w:eastAsia="ro-MD"/>
        </w:rPr>
        <w:t>shall be added with the following content</w:t>
      </w:r>
      <w:r w:rsidR="001C7868" w:rsidRPr="003101B1">
        <w:rPr>
          <w:lang w:val="en-GB" w:eastAsia="ro-MD"/>
        </w:rPr>
        <w:t>:</w:t>
      </w:r>
    </w:p>
    <w:p w14:paraId="3174A6E3" w14:textId="318A7175" w:rsidR="003016F1" w:rsidRPr="003101B1" w:rsidRDefault="00E63D0B" w:rsidP="003016F1">
      <w:pPr>
        <w:jc w:val="both"/>
        <w:rPr>
          <w:lang w:val="en-GB" w:eastAsia="ro-MD"/>
        </w:rPr>
      </w:pPr>
      <w:r w:rsidRPr="003101B1">
        <w:rPr>
          <w:lang w:val="en-GB" w:eastAsia="ro-MD"/>
        </w:rPr>
        <w:t>“</w:t>
      </w:r>
      <w:r w:rsidR="00F26529" w:rsidRPr="003101B1">
        <w:rPr>
          <w:b/>
          <w:bCs/>
          <w:lang w:val="en-GB" w:eastAsia="ro-MD"/>
        </w:rPr>
        <w:t>138</w:t>
      </w:r>
      <w:r w:rsidR="00F26529" w:rsidRPr="003101B1">
        <w:rPr>
          <w:b/>
          <w:bCs/>
          <w:vertAlign w:val="superscript"/>
          <w:lang w:val="en-GB" w:eastAsia="ro-MD"/>
        </w:rPr>
        <w:t>1</w:t>
      </w:r>
      <w:r w:rsidR="00F26529" w:rsidRPr="003101B1">
        <w:rPr>
          <w:b/>
          <w:bCs/>
          <w:lang w:val="en-GB" w:eastAsia="ro-MD"/>
        </w:rPr>
        <w:t>.</w:t>
      </w:r>
      <w:r w:rsidR="003016F1" w:rsidRPr="003101B1">
        <w:rPr>
          <w:b/>
          <w:bCs/>
          <w:lang w:val="en-GB" w:eastAsia="ro-MD"/>
        </w:rPr>
        <w:t xml:space="preserve"> </w:t>
      </w:r>
      <w:r w:rsidR="00261DFF" w:rsidRPr="003101B1">
        <w:rPr>
          <w:lang w:val="en-GB" w:eastAsia="ro-MD"/>
        </w:rPr>
        <w:t>The Bank may distribute profits to shareholders and/or make interest payments to holders of Additional Tier 1 instruments, provided that the following requirements are simultaneously met as a result of such distribution</w:t>
      </w:r>
      <w:r w:rsidR="003016F1" w:rsidRPr="003101B1">
        <w:rPr>
          <w:lang w:val="en-GB" w:eastAsia="ro-MD"/>
        </w:rPr>
        <w:t>:</w:t>
      </w:r>
    </w:p>
    <w:p w14:paraId="63332748" w14:textId="52433187" w:rsidR="003016F1" w:rsidRPr="003101B1" w:rsidRDefault="003016F1" w:rsidP="003016F1">
      <w:pPr>
        <w:jc w:val="both"/>
        <w:rPr>
          <w:lang w:val="en-GB" w:eastAsia="ro-MD"/>
        </w:rPr>
      </w:pPr>
      <w:r w:rsidRPr="003101B1">
        <w:rPr>
          <w:lang w:val="en-GB" w:eastAsia="ro-MD"/>
        </w:rPr>
        <w:t xml:space="preserve">1) </w:t>
      </w:r>
      <w:r w:rsidR="00261DFF" w:rsidRPr="003101B1">
        <w:rPr>
          <w:lang w:val="en-GB" w:eastAsia="ro-MD"/>
        </w:rPr>
        <w:t>the bank’s own funds shall meet the own funds requirements laid down in this Regulation, including the additional own funds requirements imposed by the National Bank of Moldova pursuant to Article 139 paragraph (5) of Law No 202/2017, as well as the combined buffer requirement laid down in Regulation No 110/2018</w:t>
      </w:r>
      <w:r w:rsidRPr="003101B1">
        <w:rPr>
          <w:lang w:val="en-GB" w:eastAsia="ro-MD"/>
        </w:rPr>
        <w:t>;</w:t>
      </w:r>
    </w:p>
    <w:p w14:paraId="3C76E6AC" w14:textId="5E55278E" w:rsidR="003016F1" w:rsidRPr="003101B1" w:rsidRDefault="003016F1" w:rsidP="003016F1">
      <w:pPr>
        <w:jc w:val="both"/>
        <w:rPr>
          <w:lang w:val="en-GB" w:eastAsia="ro-MD"/>
        </w:rPr>
      </w:pPr>
      <w:r w:rsidRPr="003101B1">
        <w:rPr>
          <w:lang w:val="en-GB" w:eastAsia="ro-MD"/>
        </w:rPr>
        <w:t xml:space="preserve">2) </w:t>
      </w:r>
      <w:r w:rsidR="00261DFF" w:rsidRPr="003101B1">
        <w:rPr>
          <w:lang w:val="en-GB" w:eastAsia="ro-MD"/>
        </w:rPr>
        <w:t>the bank complies with all prudential metrics</w:t>
      </w:r>
      <w:r w:rsidRPr="003101B1">
        <w:rPr>
          <w:lang w:val="en-GB" w:eastAsia="ro-MD"/>
        </w:rPr>
        <w:t>;</w:t>
      </w:r>
    </w:p>
    <w:p w14:paraId="387C3571" w14:textId="62A4EE93" w:rsidR="003016F1" w:rsidRPr="003101B1" w:rsidRDefault="003016F1" w:rsidP="003016F1">
      <w:pPr>
        <w:jc w:val="both"/>
        <w:rPr>
          <w:lang w:val="en-GB" w:eastAsia="ro-MD"/>
        </w:rPr>
      </w:pPr>
      <w:r w:rsidRPr="003101B1">
        <w:rPr>
          <w:lang w:val="en-GB" w:eastAsia="ro-MD"/>
        </w:rPr>
        <w:t xml:space="preserve">3) </w:t>
      </w:r>
      <w:r w:rsidR="00261DFF" w:rsidRPr="003101B1">
        <w:rPr>
          <w:lang w:val="en-GB" w:eastAsia="ro-MD"/>
        </w:rPr>
        <w:t>the Bank shall comply with the supervisory and recovery measures imposed by the National Bank of Moldova</w:t>
      </w:r>
      <w:r w:rsidRPr="003101B1">
        <w:rPr>
          <w:lang w:val="en-GB" w:eastAsia="ro-MD"/>
        </w:rPr>
        <w:t>;</w:t>
      </w:r>
    </w:p>
    <w:p w14:paraId="101B0B8B" w14:textId="786C49F4" w:rsidR="003016F1" w:rsidRPr="003101B1" w:rsidRDefault="003016F1" w:rsidP="003016F1">
      <w:pPr>
        <w:jc w:val="both"/>
        <w:rPr>
          <w:lang w:val="en-GB" w:eastAsia="ro-MD"/>
        </w:rPr>
      </w:pPr>
      <w:r w:rsidRPr="003101B1">
        <w:rPr>
          <w:lang w:val="en-GB" w:eastAsia="ro-MD"/>
        </w:rPr>
        <w:t xml:space="preserve">4) </w:t>
      </w:r>
      <w:r w:rsidR="00261DFF" w:rsidRPr="003101B1">
        <w:rPr>
          <w:lang w:val="en-GB" w:eastAsia="ro-MD"/>
        </w:rPr>
        <w:t>the distribution of dividends will not jeopardise the stability of the bank by assessing the impact of economic and social events, including subsequent events, on the stability of the bank and its ability to comply with the bank’s prudential and financial performance indicators relating to income and profitability of capital, assets, determined at least by assessing the results of the stress tests</w:t>
      </w:r>
      <w:r w:rsidRPr="003101B1">
        <w:rPr>
          <w:lang w:val="en-GB" w:eastAsia="ro-MD"/>
        </w:rPr>
        <w:t>.</w:t>
      </w:r>
    </w:p>
    <w:p w14:paraId="6387060E" w14:textId="63EB2D08" w:rsidR="00261DFF" w:rsidRPr="003101B1" w:rsidRDefault="00261DFF" w:rsidP="00261DFF">
      <w:pPr>
        <w:jc w:val="both"/>
        <w:rPr>
          <w:lang w:val="en-GB" w:eastAsia="ro-MD"/>
        </w:rPr>
      </w:pPr>
      <w:r w:rsidRPr="003101B1">
        <w:rPr>
          <w:lang w:val="en-GB" w:eastAsia="ro-MD"/>
        </w:rPr>
        <w:t>The bank shall seek prior approval from the National Bank of Moldova for annual cumulative distributions equal to or exceeding 25% of the bank’s net profit of the previous year.</w:t>
      </w:r>
    </w:p>
    <w:p w14:paraId="729ABD28" w14:textId="502B74E1" w:rsidR="001C7868" w:rsidRPr="003101B1" w:rsidRDefault="00261DFF" w:rsidP="00261DFF">
      <w:pPr>
        <w:jc w:val="both"/>
        <w:rPr>
          <w:lang w:val="en-GB" w:eastAsia="ro-MD"/>
        </w:rPr>
      </w:pPr>
      <w:r w:rsidRPr="003101B1">
        <w:rPr>
          <w:lang w:val="en-GB" w:eastAsia="ro-MD"/>
        </w:rPr>
        <w:t>The bank shall notify the National Bank of Moldova in writing of the distribution made under this paragraph at least 10 working days before the meeting of the Board of the Bank at which the question of the distribution of profits to shareholders under this paragraph will be considered if the annual cumulative distributions constitute up to 25% of the bank’s net profit of the previous year</w:t>
      </w:r>
      <w:r w:rsidR="003016F1" w:rsidRPr="003101B1">
        <w:rPr>
          <w:lang w:val="en-GB" w:eastAsia="ro-MD"/>
        </w:rPr>
        <w:t>.</w:t>
      </w:r>
      <w:r w:rsidR="00B5147D" w:rsidRPr="003101B1">
        <w:rPr>
          <w:lang w:val="en-GB" w:eastAsia="ro-MD"/>
        </w:rPr>
        <w:t>”.</w:t>
      </w:r>
    </w:p>
    <w:p w14:paraId="505A1A40" w14:textId="40324934" w:rsidR="00B5147D" w:rsidRPr="003101B1" w:rsidRDefault="00261DFF" w:rsidP="00C936FF">
      <w:pPr>
        <w:pStyle w:val="ListParagraph"/>
        <w:numPr>
          <w:ilvl w:val="1"/>
          <w:numId w:val="27"/>
        </w:numPr>
        <w:spacing w:before="80"/>
        <w:ind w:left="0" w:firstLine="567"/>
        <w:contextualSpacing w:val="0"/>
        <w:jc w:val="both"/>
        <w:rPr>
          <w:lang w:val="en-GB" w:eastAsia="ro-MD"/>
        </w:rPr>
      </w:pPr>
      <w:r w:rsidRPr="003101B1">
        <w:rPr>
          <w:lang w:val="en-GB" w:eastAsia="ro-MD"/>
        </w:rPr>
        <w:t>In paragraph</w:t>
      </w:r>
      <w:r w:rsidR="00B5147D" w:rsidRPr="003101B1">
        <w:rPr>
          <w:lang w:val="en-GB" w:eastAsia="ro-MD"/>
        </w:rPr>
        <w:t xml:space="preserve"> 139</w:t>
      </w:r>
      <w:r w:rsidR="000D7EA3" w:rsidRPr="003101B1">
        <w:rPr>
          <w:lang w:val="en-GB" w:eastAsia="ro-MD"/>
        </w:rPr>
        <w:t>,</w:t>
      </w:r>
      <w:r w:rsidR="00B5147D" w:rsidRPr="003101B1">
        <w:rPr>
          <w:lang w:val="en-GB" w:eastAsia="ro-MD"/>
        </w:rPr>
        <w:t xml:space="preserve"> </w:t>
      </w:r>
      <w:r w:rsidRPr="003101B1">
        <w:rPr>
          <w:lang w:val="en-GB" w:eastAsia="ro-MD"/>
        </w:rPr>
        <w:t>the text “</w:t>
      </w:r>
      <w:r w:rsidRPr="003101B1">
        <w:rPr>
          <w:lang w:val="en-GB"/>
        </w:rPr>
        <w:t>30 days</w:t>
      </w:r>
      <w:r w:rsidR="00B5147D" w:rsidRPr="003101B1">
        <w:rPr>
          <w:lang w:val="en-GB" w:eastAsia="ro-MD"/>
        </w:rPr>
        <w:t xml:space="preserve">” </w:t>
      </w:r>
      <w:r w:rsidRPr="003101B1">
        <w:rPr>
          <w:lang w:val="en-GB" w:eastAsia="ro-MD"/>
        </w:rPr>
        <w:t>shall be replaced with the text</w:t>
      </w:r>
      <w:r w:rsidR="00B5147D" w:rsidRPr="003101B1">
        <w:rPr>
          <w:lang w:val="en-GB" w:eastAsia="ro-MD"/>
        </w:rPr>
        <w:t xml:space="preserve"> </w:t>
      </w:r>
      <w:r w:rsidRPr="003101B1">
        <w:rPr>
          <w:lang w:val="en-GB" w:eastAsia="ro-MD"/>
        </w:rPr>
        <w:t>“</w:t>
      </w:r>
      <w:r w:rsidR="00A03120" w:rsidRPr="003101B1">
        <w:rPr>
          <w:lang w:val="en-GB" w:eastAsia="ro-MD"/>
        </w:rPr>
        <w:t>40</w:t>
      </w:r>
      <w:r w:rsidRPr="003101B1">
        <w:rPr>
          <w:lang w:val="en-GB" w:eastAsia="ro-MD"/>
        </w:rPr>
        <w:t xml:space="preserve"> working days</w:t>
      </w:r>
      <w:r w:rsidR="00B5147D" w:rsidRPr="003101B1">
        <w:rPr>
          <w:lang w:val="en-GB" w:eastAsia="ro-MD"/>
        </w:rPr>
        <w:t>”.</w:t>
      </w:r>
    </w:p>
    <w:p w14:paraId="52209111" w14:textId="4338B395" w:rsidR="00B5147D" w:rsidRPr="003101B1" w:rsidRDefault="00261DFF" w:rsidP="00EC0988">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paragraph </w:t>
      </w:r>
      <w:r w:rsidR="00B5147D" w:rsidRPr="003101B1">
        <w:rPr>
          <w:lang w:val="en-GB" w:eastAsia="ro-MD"/>
        </w:rPr>
        <w:t>143</w:t>
      </w:r>
      <w:r w:rsidR="000D7EA3" w:rsidRPr="003101B1">
        <w:rPr>
          <w:lang w:val="en-GB" w:eastAsia="ro-MD"/>
        </w:rPr>
        <w:t>,</w:t>
      </w:r>
      <w:r w:rsidR="00B5147D" w:rsidRPr="003101B1">
        <w:rPr>
          <w:lang w:val="en-GB" w:eastAsia="ro-MD"/>
        </w:rPr>
        <w:t xml:space="preserve"> </w:t>
      </w:r>
      <w:r w:rsidRPr="003101B1">
        <w:rPr>
          <w:lang w:val="en-GB" w:eastAsia="ro-MD"/>
        </w:rPr>
        <w:t xml:space="preserve">the </w:t>
      </w:r>
      <w:r w:rsidR="00B5147D" w:rsidRPr="003101B1">
        <w:rPr>
          <w:lang w:val="en-GB" w:eastAsia="ro-MD"/>
        </w:rPr>
        <w:t xml:space="preserve">text </w:t>
      </w:r>
      <w:r w:rsidRPr="003101B1">
        <w:rPr>
          <w:lang w:val="en-GB" w:eastAsia="ro-MD"/>
        </w:rPr>
        <w:t>“</w:t>
      </w:r>
      <w:r w:rsidR="00B5147D" w:rsidRPr="003101B1">
        <w:rPr>
          <w:lang w:val="en-GB" w:eastAsia="ro-MD"/>
        </w:rPr>
        <w:t xml:space="preserve">20 </w:t>
      </w:r>
      <w:r w:rsidRPr="003101B1">
        <w:rPr>
          <w:lang w:val="en-GB" w:eastAsia="ro-MD"/>
        </w:rPr>
        <w:t>days</w:t>
      </w:r>
      <w:r w:rsidR="00B5147D" w:rsidRPr="003101B1">
        <w:rPr>
          <w:lang w:val="en-GB" w:eastAsia="ro-MD"/>
        </w:rPr>
        <w:t xml:space="preserve">” </w:t>
      </w:r>
      <w:r w:rsidRPr="003101B1">
        <w:rPr>
          <w:lang w:val="en-GB" w:eastAsia="ro-MD"/>
        </w:rPr>
        <w:t>shall be replaced with the text “maximum 30 working days</w:t>
      </w:r>
      <w:r w:rsidR="00B5147D" w:rsidRPr="003101B1">
        <w:rPr>
          <w:lang w:val="en-GB" w:eastAsia="ro-MD"/>
        </w:rPr>
        <w:t>”.</w:t>
      </w:r>
    </w:p>
    <w:p w14:paraId="6DC8D5B6" w14:textId="7FC99AF3" w:rsidR="00B5147D" w:rsidRPr="003101B1" w:rsidRDefault="00261DFF" w:rsidP="00C936FF">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paragraph </w:t>
      </w:r>
      <w:r w:rsidR="00B5147D" w:rsidRPr="003101B1">
        <w:rPr>
          <w:lang w:val="en-GB" w:eastAsia="ro-MD"/>
        </w:rPr>
        <w:t>144</w:t>
      </w:r>
      <w:r w:rsidR="000D7EA3" w:rsidRPr="003101B1">
        <w:rPr>
          <w:lang w:val="en-GB" w:eastAsia="ro-MD"/>
        </w:rPr>
        <w:t>,</w:t>
      </w:r>
      <w:r w:rsidR="00B5147D" w:rsidRPr="003101B1">
        <w:rPr>
          <w:lang w:val="en-GB" w:eastAsia="ro-MD"/>
        </w:rPr>
        <w:t xml:space="preserve"> </w:t>
      </w:r>
      <w:r w:rsidRPr="003101B1">
        <w:rPr>
          <w:lang w:val="en-GB" w:eastAsia="ro-MD"/>
        </w:rPr>
        <w:t>the text</w:t>
      </w:r>
      <w:r w:rsidR="00B5147D" w:rsidRPr="003101B1">
        <w:rPr>
          <w:lang w:val="en-GB" w:eastAsia="ro-MD"/>
        </w:rPr>
        <w:t xml:space="preserve"> </w:t>
      </w:r>
      <w:r w:rsidRPr="003101B1">
        <w:rPr>
          <w:lang w:val="en-GB" w:eastAsia="ro-MD"/>
        </w:rPr>
        <w:t>“</w:t>
      </w:r>
      <w:r w:rsidR="00B5147D" w:rsidRPr="003101B1">
        <w:rPr>
          <w:lang w:val="en-GB" w:eastAsia="ro-MD"/>
        </w:rPr>
        <w:t>10</w:t>
      </w:r>
      <w:r w:rsidRPr="003101B1">
        <w:rPr>
          <w:lang w:val="en-GB" w:eastAsia="ro-MD"/>
        </w:rPr>
        <w:t xml:space="preserve"> days</w:t>
      </w:r>
      <w:r w:rsidR="00B5147D" w:rsidRPr="003101B1">
        <w:rPr>
          <w:lang w:val="en-GB" w:eastAsia="ro-MD"/>
        </w:rPr>
        <w:t xml:space="preserve">” </w:t>
      </w:r>
      <w:r w:rsidRPr="003101B1">
        <w:rPr>
          <w:lang w:val="en-GB" w:eastAsia="ro-MD"/>
        </w:rPr>
        <w:t>shall be supplemented with the word</w:t>
      </w:r>
      <w:r w:rsidR="00B5147D" w:rsidRPr="003101B1">
        <w:rPr>
          <w:lang w:val="en-GB" w:eastAsia="ro-MD"/>
        </w:rPr>
        <w:t xml:space="preserve"> </w:t>
      </w:r>
      <w:r w:rsidRPr="003101B1">
        <w:rPr>
          <w:lang w:val="en-GB" w:eastAsia="ro-MD"/>
        </w:rPr>
        <w:t>“working</w:t>
      </w:r>
      <w:r w:rsidR="00B5147D" w:rsidRPr="003101B1">
        <w:rPr>
          <w:lang w:val="en-GB" w:eastAsia="ro-MD"/>
        </w:rPr>
        <w:t>”.</w:t>
      </w:r>
    </w:p>
    <w:p w14:paraId="70DCFC85" w14:textId="0AFB222B" w:rsidR="00B5147D" w:rsidRPr="003101B1" w:rsidRDefault="00261DFF" w:rsidP="00C936FF">
      <w:pPr>
        <w:pStyle w:val="ListParagraph"/>
        <w:numPr>
          <w:ilvl w:val="1"/>
          <w:numId w:val="27"/>
        </w:numPr>
        <w:spacing w:before="80"/>
        <w:ind w:left="0" w:firstLine="567"/>
        <w:contextualSpacing w:val="0"/>
        <w:jc w:val="both"/>
        <w:rPr>
          <w:lang w:val="en-GB" w:eastAsia="ro-MD"/>
        </w:rPr>
      </w:pPr>
      <w:r w:rsidRPr="003101B1">
        <w:rPr>
          <w:lang w:val="en-GB" w:eastAsia="ro-MD"/>
        </w:rPr>
        <w:t xml:space="preserve">In paragraph </w:t>
      </w:r>
      <w:r w:rsidR="00B5147D" w:rsidRPr="003101B1">
        <w:rPr>
          <w:lang w:val="en-GB" w:eastAsia="ro-MD"/>
        </w:rPr>
        <w:t>147</w:t>
      </w:r>
      <w:r w:rsidR="000D7EA3" w:rsidRPr="003101B1">
        <w:rPr>
          <w:lang w:val="en-GB" w:eastAsia="ro-MD"/>
        </w:rPr>
        <w:t>,</w:t>
      </w:r>
      <w:r w:rsidR="00B5147D" w:rsidRPr="003101B1">
        <w:rPr>
          <w:lang w:val="en-GB" w:eastAsia="ro-MD"/>
        </w:rPr>
        <w:t xml:space="preserve"> </w:t>
      </w:r>
      <w:r w:rsidR="006D5DB9" w:rsidRPr="003101B1">
        <w:rPr>
          <w:lang w:val="en-GB" w:eastAsia="ro-MD"/>
        </w:rPr>
        <w:t>the words</w:t>
      </w:r>
      <w:r w:rsidR="00B5147D" w:rsidRPr="003101B1">
        <w:rPr>
          <w:lang w:val="en-GB" w:eastAsia="ro-MD"/>
        </w:rPr>
        <w:t xml:space="preserve"> </w:t>
      </w:r>
      <w:r w:rsidR="006D5DB9" w:rsidRPr="003101B1">
        <w:rPr>
          <w:lang w:val="en-GB" w:eastAsia="ro-MD"/>
        </w:rPr>
        <w:t>“own funds</w:t>
      </w:r>
      <w:r w:rsidR="00B5147D" w:rsidRPr="003101B1">
        <w:rPr>
          <w:lang w:val="en-GB" w:eastAsia="ro-MD"/>
        </w:rPr>
        <w:t xml:space="preserve">” </w:t>
      </w:r>
      <w:r w:rsidR="006D5DB9" w:rsidRPr="003101B1">
        <w:rPr>
          <w:lang w:val="en-GB" w:eastAsia="ro-MD"/>
        </w:rPr>
        <w:t>shall be supplemented with the text</w:t>
      </w:r>
      <w:r w:rsidR="00016E50" w:rsidRPr="003101B1">
        <w:rPr>
          <w:lang w:val="en-GB" w:eastAsia="ro-MD"/>
        </w:rPr>
        <w:t xml:space="preserve"> </w:t>
      </w:r>
      <w:r w:rsidR="006D5DB9" w:rsidRPr="003101B1">
        <w:rPr>
          <w:lang w:val="en-GB" w:eastAsia="ro-MD"/>
        </w:rPr>
        <w:t>“</w:t>
      </w:r>
      <w:bookmarkStart w:id="23" w:name="_Hlk228435496"/>
      <w:r w:rsidR="006D5DB9" w:rsidRPr="003101B1">
        <w:rPr>
          <w:lang w:val="en-GB" w:eastAsia="ro-MD"/>
        </w:rPr>
        <w:t>on an individual and consolidated basis</w:t>
      </w:r>
      <w:bookmarkEnd w:id="23"/>
      <w:r w:rsidR="00016E50" w:rsidRPr="003101B1">
        <w:rPr>
          <w:lang w:val="en-GB" w:eastAsia="ro-MD"/>
        </w:rPr>
        <w:t>”</w:t>
      </w:r>
      <w:r w:rsidR="00B5147D" w:rsidRPr="003101B1">
        <w:rPr>
          <w:lang w:val="en-GB" w:eastAsia="ro-MD"/>
        </w:rPr>
        <w:t>.</w:t>
      </w:r>
    </w:p>
    <w:p w14:paraId="6A8C7A1E" w14:textId="57CF7AE9" w:rsidR="009E5BDA" w:rsidRPr="003101B1" w:rsidRDefault="006D5DB9" w:rsidP="00C936FF">
      <w:pPr>
        <w:pStyle w:val="ListParagraph"/>
        <w:numPr>
          <w:ilvl w:val="1"/>
          <w:numId w:val="27"/>
        </w:numPr>
        <w:spacing w:before="80"/>
        <w:ind w:left="0" w:firstLine="567"/>
        <w:contextualSpacing w:val="0"/>
        <w:jc w:val="both"/>
        <w:rPr>
          <w:lang w:val="en-GB" w:eastAsia="ro-MD"/>
        </w:rPr>
      </w:pPr>
      <w:r w:rsidRPr="003101B1">
        <w:rPr>
          <w:lang w:val="en-GB" w:eastAsia="ro-MD"/>
        </w:rPr>
        <w:t>In</w:t>
      </w:r>
      <w:r w:rsidR="00B5147D" w:rsidRPr="003101B1">
        <w:rPr>
          <w:lang w:val="en-GB" w:eastAsia="ro-MD"/>
        </w:rPr>
        <w:t xml:space="preserve"> An</w:t>
      </w:r>
      <w:r w:rsidRPr="003101B1">
        <w:rPr>
          <w:lang w:val="en-GB" w:eastAsia="ro-MD"/>
        </w:rPr>
        <w:t>n</w:t>
      </w:r>
      <w:r w:rsidR="00B5147D" w:rsidRPr="003101B1">
        <w:rPr>
          <w:lang w:val="en-GB" w:eastAsia="ro-MD"/>
        </w:rPr>
        <w:t xml:space="preserve">ex </w:t>
      </w:r>
      <w:r w:rsidR="009E5BDA" w:rsidRPr="003101B1">
        <w:rPr>
          <w:lang w:val="en-GB" w:eastAsia="ro-MD"/>
        </w:rPr>
        <w:t>1:</w:t>
      </w:r>
    </w:p>
    <w:p w14:paraId="7876AF41" w14:textId="1FDA3859" w:rsidR="00425584" w:rsidRPr="003101B1" w:rsidRDefault="006D5DB9" w:rsidP="00C936FF">
      <w:pPr>
        <w:pStyle w:val="ListParagraph"/>
        <w:numPr>
          <w:ilvl w:val="2"/>
          <w:numId w:val="27"/>
        </w:numPr>
        <w:ind w:left="0" w:firstLine="568"/>
        <w:jc w:val="both"/>
        <w:rPr>
          <w:b/>
          <w:bCs/>
          <w:lang w:val="en-GB" w:eastAsia="ro-MD"/>
        </w:rPr>
      </w:pPr>
      <w:bookmarkStart w:id="24" w:name="_Hlk207039598"/>
      <w:r w:rsidRPr="003101B1">
        <w:rPr>
          <w:lang w:val="en-GB" w:eastAsia="ro-MD"/>
        </w:rPr>
        <w:t>the title of Annex 1 shall read as follows</w:t>
      </w:r>
      <w:r w:rsidR="00070DA3" w:rsidRPr="003101B1">
        <w:rPr>
          <w:lang w:val="en-GB" w:eastAsia="ro-MD"/>
        </w:rPr>
        <w:t>:</w:t>
      </w:r>
    </w:p>
    <w:p w14:paraId="31368970" w14:textId="599193A8" w:rsidR="00E6148F" w:rsidRPr="003101B1" w:rsidRDefault="006D5DB9" w:rsidP="00E6148F">
      <w:pPr>
        <w:ind w:left="360"/>
        <w:jc w:val="center"/>
        <w:rPr>
          <w:b/>
          <w:lang w:val="en-GB"/>
        </w:rPr>
      </w:pPr>
      <w:r w:rsidRPr="003101B1">
        <w:rPr>
          <w:lang w:val="en-GB" w:eastAsia="ro-MD"/>
        </w:rPr>
        <w:t>“</w:t>
      </w:r>
      <w:r w:rsidR="00E6148F" w:rsidRPr="003101B1">
        <w:rPr>
          <w:b/>
          <w:lang w:val="en-GB"/>
        </w:rPr>
        <w:t xml:space="preserve">Meaning of the concept “foreseeable” in the wording  </w:t>
      </w:r>
    </w:p>
    <w:p w14:paraId="727C7770" w14:textId="40DA8672" w:rsidR="00D82CE3" w:rsidRPr="003101B1" w:rsidRDefault="00E6148F" w:rsidP="00E6148F">
      <w:pPr>
        <w:ind w:left="360"/>
        <w:jc w:val="center"/>
        <w:rPr>
          <w:b/>
          <w:lang w:val="en-GB"/>
        </w:rPr>
      </w:pPr>
      <w:r w:rsidRPr="003101B1">
        <w:rPr>
          <w:b/>
          <w:lang w:val="en-GB"/>
        </w:rPr>
        <w:t>“foreseeable dividends” and “foreseeable liabilities”, the concept “gain on sale,” and the concept “operationally burdensome”</w:t>
      </w:r>
      <w:r w:rsidR="00D82CE3" w:rsidRPr="003101B1">
        <w:rPr>
          <w:lang w:val="en-GB" w:eastAsia="ro-MD"/>
        </w:rPr>
        <w:t>”;</w:t>
      </w:r>
    </w:p>
    <w:bookmarkEnd w:id="24"/>
    <w:p w14:paraId="14BF743B" w14:textId="1E4B56B5" w:rsidR="009E5BDA" w:rsidRPr="003101B1" w:rsidRDefault="00E6148F" w:rsidP="00C936FF">
      <w:pPr>
        <w:pStyle w:val="ListParagraph"/>
        <w:numPr>
          <w:ilvl w:val="2"/>
          <w:numId w:val="27"/>
        </w:numPr>
        <w:ind w:left="0" w:firstLine="568"/>
        <w:jc w:val="both"/>
        <w:rPr>
          <w:b/>
          <w:bCs/>
          <w:lang w:val="en-GB" w:eastAsia="ro-MD"/>
        </w:rPr>
      </w:pPr>
      <w:r w:rsidRPr="003101B1">
        <w:rPr>
          <w:lang w:val="en-GB" w:eastAsia="ro-MD"/>
        </w:rPr>
        <w:t>after the title of Annex 1, the text “</w:t>
      </w:r>
      <w:r w:rsidRPr="003101B1">
        <w:rPr>
          <w:b/>
          <w:bCs/>
          <w:i/>
          <w:iCs/>
          <w:lang w:val="en-GB" w:eastAsia="ro-MD"/>
        </w:rPr>
        <w:t>Section 1 Meaning of concept “foreseeable” in the terms “foreseeable dividends” and “foreseeable liabilities</w:t>
      </w:r>
      <w:r w:rsidR="00170D19" w:rsidRPr="003101B1">
        <w:rPr>
          <w:b/>
          <w:bCs/>
          <w:i/>
          <w:iCs/>
          <w:lang w:val="en-GB" w:eastAsia="ro-MD"/>
        </w:rPr>
        <w:t>”</w:t>
      </w:r>
      <w:r w:rsidR="00170D19" w:rsidRPr="003101B1">
        <w:rPr>
          <w:b/>
          <w:bCs/>
          <w:lang w:val="en-GB" w:eastAsia="ro-MD"/>
        </w:rPr>
        <w:t xml:space="preserve"> </w:t>
      </w:r>
      <w:r w:rsidRPr="003101B1">
        <w:rPr>
          <w:lang w:val="en-GB" w:eastAsia="ro-MD"/>
        </w:rPr>
        <w:t>shall be added</w:t>
      </w:r>
      <w:r w:rsidR="00170D19" w:rsidRPr="003101B1">
        <w:rPr>
          <w:lang w:val="en-GB" w:eastAsia="ro-MD"/>
        </w:rPr>
        <w:t>”</w:t>
      </w:r>
      <w:r w:rsidR="00FA337D" w:rsidRPr="003101B1">
        <w:rPr>
          <w:lang w:val="en-GB" w:eastAsia="ro-MD"/>
        </w:rPr>
        <w:t>;</w:t>
      </w:r>
    </w:p>
    <w:p w14:paraId="0E624D12" w14:textId="7D2A039A" w:rsidR="009E5BDA" w:rsidRPr="003101B1" w:rsidRDefault="00E6148F" w:rsidP="00C936FF">
      <w:pPr>
        <w:pStyle w:val="ListParagraph"/>
        <w:numPr>
          <w:ilvl w:val="2"/>
          <w:numId w:val="27"/>
        </w:numPr>
        <w:ind w:left="0" w:firstLine="567"/>
        <w:rPr>
          <w:lang w:val="en-GB" w:eastAsia="ro-MD"/>
        </w:rPr>
      </w:pPr>
      <w:r w:rsidRPr="003101B1">
        <w:rPr>
          <w:lang w:val="en-GB" w:eastAsia="ro-MD"/>
        </w:rPr>
        <w:t>Sections</w:t>
      </w:r>
      <w:r w:rsidR="000D7EA3" w:rsidRPr="003101B1">
        <w:rPr>
          <w:lang w:val="en-GB" w:eastAsia="ro-MD"/>
        </w:rPr>
        <w:t xml:space="preserve"> </w:t>
      </w:r>
      <w:r w:rsidR="009E5BDA" w:rsidRPr="003101B1">
        <w:rPr>
          <w:lang w:val="en-GB" w:eastAsia="ro-MD"/>
        </w:rPr>
        <w:t xml:space="preserve">2 </w:t>
      </w:r>
      <w:r w:rsidRPr="003101B1">
        <w:rPr>
          <w:lang w:val="en-GB" w:eastAsia="ro-MD"/>
        </w:rPr>
        <w:t>and</w:t>
      </w:r>
      <w:r w:rsidR="00143DCB" w:rsidRPr="003101B1">
        <w:rPr>
          <w:lang w:val="en-GB" w:eastAsia="ro-MD"/>
        </w:rPr>
        <w:t xml:space="preserve"> </w:t>
      </w:r>
      <w:r w:rsidR="009E5BDA" w:rsidRPr="003101B1">
        <w:rPr>
          <w:lang w:val="en-GB" w:eastAsia="ro-MD"/>
        </w:rPr>
        <w:t xml:space="preserve">3 </w:t>
      </w:r>
      <w:r w:rsidRPr="003101B1">
        <w:rPr>
          <w:lang w:val="en-GB" w:eastAsia="ro-MD"/>
        </w:rPr>
        <w:t>shall be added, reading as follows</w:t>
      </w:r>
      <w:r w:rsidR="009E5BDA" w:rsidRPr="003101B1">
        <w:rPr>
          <w:lang w:val="en-GB" w:eastAsia="ro-MD"/>
        </w:rPr>
        <w:t>:</w:t>
      </w:r>
    </w:p>
    <w:p w14:paraId="7409D354" w14:textId="06C47DD0" w:rsidR="00BD0467" w:rsidRPr="003101B1" w:rsidRDefault="00E6148F" w:rsidP="009E5BDA">
      <w:pPr>
        <w:jc w:val="center"/>
        <w:rPr>
          <w:b/>
          <w:bCs/>
          <w:i/>
          <w:iCs/>
          <w:lang w:val="en-GB" w:eastAsia="ro-MD"/>
        </w:rPr>
      </w:pPr>
      <w:r w:rsidRPr="003101B1">
        <w:rPr>
          <w:lang w:val="en-GB" w:eastAsia="ro-MD"/>
        </w:rPr>
        <w:t>“</w:t>
      </w:r>
      <w:r w:rsidR="009E5BDA" w:rsidRPr="003101B1">
        <w:rPr>
          <w:b/>
          <w:bCs/>
          <w:i/>
          <w:iCs/>
          <w:lang w:val="en-GB" w:eastAsia="ro-MD"/>
        </w:rPr>
        <w:t>Sec</w:t>
      </w:r>
      <w:r w:rsidRPr="003101B1">
        <w:rPr>
          <w:b/>
          <w:bCs/>
          <w:i/>
          <w:iCs/>
          <w:lang w:val="en-GB" w:eastAsia="ro-MD"/>
        </w:rPr>
        <w:t>tion</w:t>
      </w:r>
      <w:r w:rsidR="009E5BDA" w:rsidRPr="003101B1">
        <w:rPr>
          <w:b/>
          <w:bCs/>
          <w:i/>
          <w:iCs/>
          <w:lang w:val="en-GB" w:eastAsia="ro-MD"/>
        </w:rPr>
        <w:t xml:space="preserve"> 2</w:t>
      </w:r>
    </w:p>
    <w:p w14:paraId="7ACACA9F" w14:textId="2E2FC7F0" w:rsidR="009E5BDA" w:rsidRPr="003101B1" w:rsidRDefault="00E6148F" w:rsidP="009E5BDA">
      <w:pPr>
        <w:jc w:val="center"/>
        <w:rPr>
          <w:b/>
          <w:bCs/>
          <w:i/>
          <w:iCs/>
          <w:lang w:val="en-GB" w:eastAsia="ro-MD"/>
        </w:rPr>
      </w:pPr>
      <w:r w:rsidRPr="003101B1">
        <w:rPr>
          <w:b/>
          <w:bCs/>
          <w:i/>
          <w:iCs/>
          <w:lang w:val="en-GB" w:eastAsia="ro-MD"/>
        </w:rPr>
        <w:t xml:space="preserve">Meaning of the concept “gain on sale” for the purposes of paragraph </w:t>
      </w:r>
      <w:r w:rsidR="009E5BDA" w:rsidRPr="003101B1">
        <w:rPr>
          <w:b/>
          <w:bCs/>
          <w:i/>
          <w:iCs/>
          <w:lang w:val="en-GB" w:eastAsia="ro-MD"/>
        </w:rPr>
        <w:t>25</w:t>
      </w:r>
      <w:r w:rsidR="009E5BDA" w:rsidRPr="003101B1">
        <w:rPr>
          <w:b/>
          <w:bCs/>
          <w:i/>
          <w:iCs/>
          <w:vertAlign w:val="superscript"/>
          <w:lang w:val="en-GB" w:eastAsia="ro-MD"/>
        </w:rPr>
        <w:t>1</w:t>
      </w:r>
      <w:r w:rsidR="009E5BDA" w:rsidRPr="003101B1">
        <w:rPr>
          <w:b/>
          <w:bCs/>
          <w:i/>
          <w:iCs/>
          <w:lang w:val="en-GB" w:eastAsia="ro-MD"/>
        </w:rPr>
        <w:t xml:space="preserve"> sub</w:t>
      </w:r>
      <w:r w:rsidRPr="003101B1">
        <w:rPr>
          <w:b/>
          <w:bCs/>
          <w:i/>
          <w:iCs/>
          <w:lang w:val="en-GB" w:eastAsia="ro-MD"/>
        </w:rPr>
        <w:t xml:space="preserve">-paragraph </w:t>
      </w:r>
      <w:r w:rsidR="009E5BDA" w:rsidRPr="003101B1">
        <w:rPr>
          <w:b/>
          <w:bCs/>
          <w:i/>
          <w:iCs/>
          <w:lang w:val="en-GB" w:eastAsia="ro-MD"/>
        </w:rPr>
        <w:t>1)</w:t>
      </w:r>
    </w:p>
    <w:p w14:paraId="42147AF3" w14:textId="7F2B0FBE" w:rsidR="009E5BDA" w:rsidRPr="003101B1" w:rsidRDefault="009E5BDA" w:rsidP="009E5BDA">
      <w:pPr>
        <w:jc w:val="both"/>
        <w:rPr>
          <w:lang w:val="en-GB" w:eastAsia="ro-MD"/>
        </w:rPr>
      </w:pPr>
      <w:r w:rsidRPr="003101B1">
        <w:rPr>
          <w:lang w:val="en-GB" w:eastAsia="ro-MD"/>
        </w:rPr>
        <w:t>1</w:t>
      </w:r>
      <w:r w:rsidR="00F508AF" w:rsidRPr="003101B1">
        <w:rPr>
          <w:lang w:val="en-GB" w:eastAsia="ro-MD"/>
        </w:rPr>
        <w:t>3</w:t>
      </w:r>
      <w:r w:rsidRPr="003101B1">
        <w:rPr>
          <w:lang w:val="en-GB" w:eastAsia="ro-MD"/>
        </w:rPr>
        <w:t xml:space="preserve">. </w:t>
      </w:r>
      <w:r w:rsidR="00E6148F" w:rsidRPr="003101B1">
        <w:rPr>
          <w:lang w:val="en-GB" w:eastAsia="ro-MD"/>
        </w:rPr>
        <w:t xml:space="preserve">For the purposes of paragraph </w:t>
      </w:r>
      <w:r w:rsidRPr="003101B1">
        <w:rPr>
          <w:lang w:val="en-GB" w:eastAsia="ro-MD"/>
        </w:rPr>
        <w:t>25</w:t>
      </w:r>
      <w:r w:rsidRPr="003101B1">
        <w:rPr>
          <w:vertAlign w:val="superscript"/>
          <w:lang w:val="en-GB" w:eastAsia="ro-MD"/>
        </w:rPr>
        <w:t>1</w:t>
      </w:r>
      <w:r w:rsidRPr="003101B1">
        <w:rPr>
          <w:lang w:val="en-GB" w:eastAsia="ro-MD"/>
        </w:rPr>
        <w:t xml:space="preserve"> sub</w:t>
      </w:r>
      <w:r w:rsidR="00E6148F" w:rsidRPr="003101B1">
        <w:rPr>
          <w:lang w:val="en-GB" w:eastAsia="ro-MD"/>
        </w:rPr>
        <w:t>-paragraph</w:t>
      </w:r>
      <w:r w:rsidRPr="003101B1">
        <w:rPr>
          <w:lang w:val="en-GB" w:eastAsia="ro-MD"/>
        </w:rPr>
        <w:t xml:space="preserve"> 1), </w:t>
      </w:r>
      <w:r w:rsidR="00E6148F" w:rsidRPr="003101B1">
        <w:rPr>
          <w:lang w:val="en-GB" w:eastAsia="ro-MD"/>
        </w:rPr>
        <w:t>the concept of</w:t>
      </w:r>
      <w:r w:rsidRPr="003101B1">
        <w:rPr>
          <w:lang w:val="en-GB" w:eastAsia="ro-MD"/>
        </w:rPr>
        <w:t xml:space="preserve"> </w:t>
      </w:r>
      <w:r w:rsidR="00E6148F" w:rsidRPr="003101B1">
        <w:rPr>
          <w:lang w:val="en-GB" w:eastAsia="ro-MD"/>
        </w:rPr>
        <w:t>“gain on sale</w:t>
      </w:r>
      <w:r w:rsidRPr="003101B1">
        <w:rPr>
          <w:lang w:val="en-GB" w:eastAsia="ro-MD"/>
        </w:rPr>
        <w:t xml:space="preserve">” </w:t>
      </w:r>
      <w:r w:rsidR="00E6148F" w:rsidRPr="003101B1">
        <w:rPr>
          <w:lang w:val="en-GB" w:eastAsia="ro-MD"/>
        </w:rPr>
        <w:t>means any gain on sale, recognised to the bank, that is recorded as an increase in any item of own funds and that is associated with the future income from exposures arising from the sale of securitised assets at the time they are removed from the bank’s balance sheet in the context of a securitisation</w:t>
      </w:r>
      <w:r w:rsidRPr="003101B1">
        <w:rPr>
          <w:lang w:val="en-GB" w:eastAsia="ro-MD"/>
        </w:rPr>
        <w:t>.</w:t>
      </w:r>
    </w:p>
    <w:p w14:paraId="26BD8183" w14:textId="29ACE171" w:rsidR="009E5BDA" w:rsidRPr="003101B1" w:rsidRDefault="00F508AF" w:rsidP="009E5BDA">
      <w:pPr>
        <w:jc w:val="both"/>
        <w:rPr>
          <w:lang w:val="en-GB" w:eastAsia="ro-MD"/>
        </w:rPr>
      </w:pPr>
      <w:r w:rsidRPr="003101B1">
        <w:rPr>
          <w:lang w:val="en-GB" w:eastAsia="ro-MD"/>
        </w:rPr>
        <w:t>14</w:t>
      </w:r>
      <w:r w:rsidR="009E5BDA" w:rsidRPr="003101B1">
        <w:rPr>
          <w:lang w:val="en-GB" w:eastAsia="ro-MD"/>
        </w:rPr>
        <w:t xml:space="preserve">. </w:t>
      </w:r>
      <w:r w:rsidR="00E6148F" w:rsidRPr="003101B1">
        <w:rPr>
          <w:lang w:val="en-GB" w:eastAsia="ro-MD"/>
        </w:rPr>
        <w:t>The gain on sale recognised shall be determined as the difference between the amounts in sub-paragraph 1) and 2) below as determined applying the accounting framework</w:t>
      </w:r>
      <w:r w:rsidR="009E5BDA" w:rsidRPr="003101B1">
        <w:rPr>
          <w:lang w:val="en-GB" w:eastAsia="ro-MD"/>
        </w:rPr>
        <w:t>:</w:t>
      </w:r>
    </w:p>
    <w:p w14:paraId="4F1E5222" w14:textId="604E19F5" w:rsidR="009E5BDA" w:rsidRPr="003101B1" w:rsidRDefault="009E5BDA" w:rsidP="009E5BDA">
      <w:pPr>
        <w:jc w:val="both"/>
        <w:rPr>
          <w:lang w:val="en-GB" w:eastAsia="ro-MD"/>
        </w:rPr>
      </w:pPr>
      <w:r w:rsidRPr="003101B1">
        <w:rPr>
          <w:lang w:val="en-GB" w:eastAsia="ro-MD"/>
        </w:rPr>
        <w:t xml:space="preserve">1) </w:t>
      </w:r>
      <w:r w:rsidR="00E6148F" w:rsidRPr="003101B1">
        <w:rPr>
          <w:lang w:val="en-GB" w:eastAsia="ro-MD"/>
        </w:rPr>
        <w:t>the net value of the assets received including any new asset obtained less any other asset given or any new liability assumed; and</w:t>
      </w:r>
    </w:p>
    <w:p w14:paraId="5941D07F" w14:textId="42BF869B" w:rsidR="009E5BDA" w:rsidRPr="003101B1" w:rsidRDefault="009E5BDA" w:rsidP="009E5BDA">
      <w:pPr>
        <w:jc w:val="both"/>
        <w:rPr>
          <w:lang w:val="en-GB" w:eastAsia="ro-MD"/>
        </w:rPr>
      </w:pPr>
      <w:r w:rsidRPr="003101B1">
        <w:rPr>
          <w:lang w:val="en-GB" w:eastAsia="ro-MD"/>
        </w:rPr>
        <w:t xml:space="preserve">2) </w:t>
      </w:r>
      <w:r w:rsidR="00E6148F" w:rsidRPr="003101B1">
        <w:rPr>
          <w:lang w:val="en-GB" w:eastAsia="ro-MD"/>
        </w:rPr>
        <w:t>carrying amount of the securitised assets or the part no longer recognised</w:t>
      </w:r>
      <w:r w:rsidRPr="003101B1">
        <w:rPr>
          <w:lang w:val="en-GB" w:eastAsia="ro-MD"/>
        </w:rPr>
        <w:t>.</w:t>
      </w:r>
    </w:p>
    <w:p w14:paraId="4CE8726D" w14:textId="52E9EAAD" w:rsidR="009E5BDA" w:rsidRPr="003101B1" w:rsidRDefault="00F508AF" w:rsidP="009E5BDA">
      <w:pPr>
        <w:jc w:val="both"/>
        <w:rPr>
          <w:sz w:val="18"/>
          <w:szCs w:val="18"/>
          <w:lang w:val="en-GB" w:eastAsia="ro-MD"/>
        </w:rPr>
      </w:pPr>
      <w:r w:rsidRPr="003101B1">
        <w:rPr>
          <w:lang w:val="en-GB" w:eastAsia="ro-MD"/>
        </w:rPr>
        <w:t>15</w:t>
      </w:r>
      <w:r w:rsidR="009E5BDA" w:rsidRPr="003101B1">
        <w:rPr>
          <w:lang w:val="en-GB" w:eastAsia="ro-MD"/>
        </w:rPr>
        <w:t xml:space="preserve">. </w:t>
      </w:r>
      <w:r w:rsidR="00E6148F" w:rsidRPr="003101B1">
        <w:rPr>
          <w:lang w:val="en-GB" w:eastAsia="ro-MD"/>
        </w:rPr>
        <w:t>The recognised gain on sale that is associated with future exposure income refers, in this context, to the estimated future "excess spread" defined as finance income and other fee income received on the securitised exposures net of costs and expenses</w:t>
      </w:r>
      <w:r w:rsidR="009E5BDA" w:rsidRPr="003101B1">
        <w:rPr>
          <w:lang w:val="en-GB" w:eastAsia="ro-MD"/>
        </w:rPr>
        <w:t xml:space="preserve">. </w:t>
      </w:r>
    </w:p>
    <w:p w14:paraId="25FBE801" w14:textId="22C0F556" w:rsidR="00CC1861" w:rsidRPr="003101B1" w:rsidRDefault="009E5BDA" w:rsidP="009E5BDA">
      <w:pPr>
        <w:jc w:val="center"/>
        <w:rPr>
          <w:b/>
          <w:bCs/>
          <w:i/>
          <w:iCs/>
          <w:lang w:val="en-GB" w:eastAsia="ro-MD"/>
        </w:rPr>
      </w:pPr>
      <w:r w:rsidRPr="003101B1">
        <w:rPr>
          <w:b/>
          <w:bCs/>
          <w:i/>
          <w:iCs/>
          <w:lang w:val="en-GB" w:eastAsia="ro-MD"/>
        </w:rPr>
        <w:t>Sec</w:t>
      </w:r>
      <w:r w:rsidR="00E6148F" w:rsidRPr="003101B1">
        <w:rPr>
          <w:b/>
          <w:bCs/>
          <w:i/>
          <w:iCs/>
          <w:lang w:val="en-GB" w:eastAsia="ro-MD"/>
        </w:rPr>
        <w:t>tion</w:t>
      </w:r>
      <w:r w:rsidRPr="003101B1">
        <w:rPr>
          <w:b/>
          <w:bCs/>
          <w:i/>
          <w:iCs/>
          <w:lang w:val="en-GB" w:eastAsia="ro-MD"/>
        </w:rPr>
        <w:t xml:space="preserve"> 3</w:t>
      </w:r>
    </w:p>
    <w:p w14:paraId="55A81782" w14:textId="352CCED8" w:rsidR="009E5BDA" w:rsidRPr="003101B1" w:rsidRDefault="00E6148F" w:rsidP="009E5BDA">
      <w:pPr>
        <w:jc w:val="center"/>
        <w:rPr>
          <w:b/>
          <w:bCs/>
          <w:lang w:val="en-GB" w:eastAsia="ro-MD"/>
        </w:rPr>
      </w:pPr>
      <w:r w:rsidRPr="003101B1">
        <w:rPr>
          <w:b/>
          <w:bCs/>
          <w:i/>
          <w:iCs/>
          <w:lang w:val="en-GB" w:eastAsia="ro-MD"/>
        </w:rPr>
        <w:t>Meaning of the concept “operationally burdensome</w:t>
      </w:r>
      <w:r w:rsidR="009E5BDA" w:rsidRPr="003101B1">
        <w:rPr>
          <w:b/>
          <w:bCs/>
          <w:i/>
          <w:iCs/>
          <w:lang w:val="en-GB" w:eastAsia="ro-MD"/>
        </w:rPr>
        <w:t>”</w:t>
      </w:r>
      <w:r w:rsidR="009E5BDA" w:rsidRPr="003101B1">
        <w:rPr>
          <w:b/>
          <w:bCs/>
          <w:lang w:val="en-GB" w:eastAsia="ro-MD"/>
        </w:rPr>
        <w:t xml:space="preserve"> </w:t>
      </w:r>
    </w:p>
    <w:p w14:paraId="43F9FE03" w14:textId="64646394" w:rsidR="009E5BDA" w:rsidRPr="003101B1" w:rsidRDefault="009E5BDA" w:rsidP="00EC0988">
      <w:pPr>
        <w:jc w:val="both"/>
        <w:rPr>
          <w:lang w:val="en-GB" w:eastAsia="ro-MD"/>
        </w:rPr>
      </w:pPr>
      <w:r w:rsidRPr="003101B1">
        <w:rPr>
          <w:lang w:val="en-GB" w:eastAsia="ro-MD"/>
        </w:rPr>
        <w:t>1</w:t>
      </w:r>
      <w:r w:rsidR="00F508AF" w:rsidRPr="003101B1">
        <w:rPr>
          <w:lang w:val="en-GB" w:eastAsia="ro-MD"/>
        </w:rPr>
        <w:t>6</w:t>
      </w:r>
      <w:r w:rsidRPr="003101B1">
        <w:rPr>
          <w:lang w:val="en-GB" w:eastAsia="ro-MD"/>
        </w:rPr>
        <w:t xml:space="preserve">. </w:t>
      </w:r>
      <w:bookmarkStart w:id="25" w:name="_Hlk205286505"/>
      <w:r w:rsidR="00E6148F" w:rsidRPr="003101B1">
        <w:rPr>
          <w:lang w:val="en-GB" w:eastAsia="ro-MD"/>
        </w:rPr>
        <w:t xml:space="preserve">For the purposes of paragraph </w:t>
      </w:r>
      <w:r w:rsidRPr="003101B1">
        <w:rPr>
          <w:lang w:val="en-GB" w:eastAsia="ro-MD"/>
        </w:rPr>
        <w:t>11</w:t>
      </w:r>
      <w:r w:rsidR="00607502" w:rsidRPr="003101B1">
        <w:rPr>
          <w:lang w:val="en-GB" w:eastAsia="ro-MD"/>
        </w:rPr>
        <w:t>8</w:t>
      </w:r>
      <w:r w:rsidRPr="003101B1">
        <w:rPr>
          <w:vertAlign w:val="superscript"/>
          <w:lang w:val="en-GB" w:eastAsia="ro-MD"/>
        </w:rPr>
        <w:t>3</w:t>
      </w:r>
      <w:bookmarkEnd w:id="25"/>
      <w:r w:rsidRPr="003101B1">
        <w:rPr>
          <w:lang w:val="en-GB" w:eastAsia="ro-MD"/>
        </w:rPr>
        <w:t xml:space="preserve">, </w:t>
      </w:r>
      <w:r w:rsidR="00E6148F" w:rsidRPr="003101B1">
        <w:rPr>
          <w:lang w:val="en-GB" w:eastAsia="ro-MD"/>
        </w:rPr>
        <w:t>“operationally burdensome” means situations where look-through approaches to holdings of capital instruments in financial sector entities or to holdings of eligible liabilities instruments in banks on an ongoing basis are unjustified, as assessed by the National Bank of Moldova. In their assessment of the nature of operationally burdensome situations, competent authorities shall take into account the low materiality and short holding period of such positions. A short holding period requires the bank to highlight the high liquidity of the index</w:t>
      </w:r>
      <w:r w:rsidRPr="003101B1">
        <w:rPr>
          <w:lang w:val="en-GB" w:eastAsia="ro-MD"/>
        </w:rPr>
        <w:t>.</w:t>
      </w:r>
    </w:p>
    <w:p w14:paraId="6892A2E3" w14:textId="394DD72E" w:rsidR="009E5BDA" w:rsidRPr="003101B1" w:rsidRDefault="00F508AF" w:rsidP="00EC0988">
      <w:pPr>
        <w:jc w:val="both"/>
        <w:rPr>
          <w:lang w:val="en-GB" w:eastAsia="ro-MD"/>
        </w:rPr>
      </w:pPr>
      <w:r w:rsidRPr="003101B1">
        <w:rPr>
          <w:lang w:val="en-GB" w:eastAsia="ro-MD"/>
        </w:rPr>
        <w:t>17</w:t>
      </w:r>
      <w:r w:rsidR="009E5BDA" w:rsidRPr="003101B1">
        <w:rPr>
          <w:lang w:val="en-GB" w:eastAsia="ro-MD"/>
        </w:rPr>
        <w:t xml:space="preserve">. </w:t>
      </w:r>
      <w:r w:rsidR="00E6148F" w:rsidRPr="003101B1">
        <w:rPr>
          <w:lang w:val="en-GB" w:eastAsia="ro-MD"/>
        </w:rPr>
        <w:t xml:space="preserve">For the purposes of paragraph </w:t>
      </w:r>
      <w:r w:rsidR="009E5BDA" w:rsidRPr="003101B1">
        <w:rPr>
          <w:lang w:val="en-GB" w:eastAsia="ro-MD"/>
        </w:rPr>
        <w:t>1</w:t>
      </w:r>
      <w:r w:rsidR="00070DA3" w:rsidRPr="003101B1">
        <w:rPr>
          <w:lang w:val="en-GB" w:eastAsia="ro-MD"/>
        </w:rPr>
        <w:t>6</w:t>
      </w:r>
      <w:r w:rsidR="009E5BDA" w:rsidRPr="003101B1">
        <w:rPr>
          <w:lang w:val="en-GB" w:eastAsia="ro-MD"/>
        </w:rPr>
        <w:t xml:space="preserve">, </w:t>
      </w:r>
      <w:r w:rsidR="009A432B" w:rsidRPr="003101B1">
        <w:rPr>
          <w:lang w:val="en-GB" w:eastAsia="ro-MD"/>
        </w:rPr>
        <w:t>a position shall be considered to be of low materiality where all of the following conditions are met</w:t>
      </w:r>
      <w:r w:rsidR="009E5BDA" w:rsidRPr="003101B1">
        <w:rPr>
          <w:lang w:val="en-GB" w:eastAsia="ro-MD"/>
        </w:rPr>
        <w:t>:</w:t>
      </w:r>
    </w:p>
    <w:p w14:paraId="5C7FCA96" w14:textId="3C2EA906" w:rsidR="009E5BDA" w:rsidRPr="003101B1" w:rsidRDefault="009E5BDA" w:rsidP="00EC0988">
      <w:pPr>
        <w:jc w:val="both"/>
        <w:rPr>
          <w:lang w:val="en-GB" w:eastAsia="ro-MD"/>
        </w:rPr>
      </w:pPr>
      <w:r w:rsidRPr="003101B1">
        <w:rPr>
          <w:lang w:val="en-GB" w:eastAsia="ro-MD"/>
        </w:rPr>
        <w:t xml:space="preserve">a) </w:t>
      </w:r>
      <w:r w:rsidR="009A432B" w:rsidRPr="003101B1">
        <w:rPr>
          <w:lang w:val="en-GB" w:eastAsia="ro-MD"/>
        </w:rPr>
        <w:t xml:space="preserve">the individual net exposure arising from index holdings measured before any look-through is applied does not exceed 2 % of Common Equity Tier 1 items as calculated in paragraph 56 sub-paragraph </w:t>
      </w:r>
      <w:r w:rsidRPr="003101B1">
        <w:rPr>
          <w:lang w:val="en-GB" w:eastAsia="ro-MD"/>
        </w:rPr>
        <w:t>1);</w:t>
      </w:r>
    </w:p>
    <w:p w14:paraId="2D8BBA74" w14:textId="03A1D36D" w:rsidR="009E5BDA" w:rsidRPr="003101B1" w:rsidRDefault="009E5BDA" w:rsidP="00EC0988">
      <w:pPr>
        <w:jc w:val="both"/>
        <w:rPr>
          <w:lang w:val="en-GB" w:eastAsia="ro-MD"/>
        </w:rPr>
      </w:pPr>
      <w:r w:rsidRPr="003101B1">
        <w:rPr>
          <w:lang w:val="en-GB" w:eastAsia="ro-MD"/>
        </w:rPr>
        <w:t xml:space="preserve">b) </w:t>
      </w:r>
      <w:r w:rsidR="009A432B" w:rsidRPr="003101B1">
        <w:rPr>
          <w:lang w:val="en-GB" w:eastAsia="ro-MD"/>
        </w:rPr>
        <w:t>the aggregate net exposure arising from index holdings measured before any look-through is applied does not exceed 5 % of Common Equity Tier 1 items as calculated in paragraph 56 sub-paragraph 1</w:t>
      </w:r>
      <w:r w:rsidRPr="003101B1">
        <w:rPr>
          <w:lang w:val="en-GB" w:eastAsia="ro-MD"/>
        </w:rPr>
        <w:t>);</w:t>
      </w:r>
    </w:p>
    <w:p w14:paraId="3AFF9660" w14:textId="001ABCFE" w:rsidR="009E5BDA" w:rsidRPr="003101B1" w:rsidRDefault="009E5BDA" w:rsidP="00EC0988">
      <w:pPr>
        <w:jc w:val="both"/>
        <w:rPr>
          <w:lang w:val="en-GB" w:eastAsia="ro-MD"/>
        </w:rPr>
      </w:pPr>
      <w:r w:rsidRPr="003101B1">
        <w:rPr>
          <w:lang w:val="en-GB" w:eastAsia="ro-MD"/>
        </w:rPr>
        <w:t xml:space="preserve">c) </w:t>
      </w:r>
      <w:r w:rsidR="009A432B" w:rsidRPr="003101B1">
        <w:rPr>
          <w:lang w:val="en-GB" w:eastAsia="ro-MD"/>
        </w:rPr>
        <w:t>the sum of the aggregated net exposure arising from index holdings measured before any look-through is applied and any other holdings that shall be deducted in accordance with paragraph 30 sub-paragraph 7) does not exceed 10 % of Common Equity Tier 1 items as calculated in paragraph 56 sub-paragraph 1</w:t>
      </w:r>
      <w:r w:rsidRPr="003101B1">
        <w:rPr>
          <w:lang w:val="en-GB" w:eastAsia="ro-MD"/>
        </w:rPr>
        <w:t>).”.</w:t>
      </w:r>
    </w:p>
    <w:p w14:paraId="1D0C6AEE" w14:textId="56A19185" w:rsidR="009E5BDA" w:rsidRPr="003101B1" w:rsidRDefault="009A432B" w:rsidP="00C936FF">
      <w:pPr>
        <w:pStyle w:val="ListParagraph"/>
        <w:numPr>
          <w:ilvl w:val="1"/>
          <w:numId w:val="27"/>
        </w:numPr>
        <w:spacing w:before="80"/>
        <w:ind w:left="0" w:firstLine="567"/>
        <w:contextualSpacing w:val="0"/>
        <w:rPr>
          <w:lang w:val="en-GB" w:eastAsia="ro-MD"/>
        </w:rPr>
      </w:pPr>
      <w:r w:rsidRPr="003101B1">
        <w:rPr>
          <w:lang w:val="en-GB" w:eastAsia="ro-MD"/>
        </w:rPr>
        <w:t>In Annex</w:t>
      </w:r>
      <w:r w:rsidR="009E5BDA" w:rsidRPr="003101B1">
        <w:rPr>
          <w:lang w:val="en-GB" w:eastAsia="ro-MD"/>
        </w:rPr>
        <w:t xml:space="preserve"> 2:</w:t>
      </w:r>
    </w:p>
    <w:p w14:paraId="714FC6BD" w14:textId="3C1844DD" w:rsidR="009E5BDA" w:rsidRPr="003101B1" w:rsidRDefault="0083388C" w:rsidP="00C936FF">
      <w:pPr>
        <w:pStyle w:val="ListParagraph"/>
        <w:numPr>
          <w:ilvl w:val="2"/>
          <w:numId w:val="27"/>
        </w:numPr>
        <w:ind w:left="0" w:firstLine="567"/>
        <w:rPr>
          <w:lang w:val="en-GB" w:eastAsia="ro-MD"/>
        </w:rPr>
      </w:pPr>
      <w:r w:rsidRPr="003101B1">
        <w:rPr>
          <w:lang w:val="en-GB" w:eastAsia="ro-MD"/>
        </w:rPr>
        <w:t>the name shall be supplemented by “</w:t>
      </w:r>
      <w:r w:rsidR="00BE6378" w:rsidRPr="003101B1">
        <w:rPr>
          <w:lang w:val="en-GB" w:eastAsia="ro-MD"/>
        </w:rPr>
        <w:t xml:space="preserve">, </w:t>
      </w:r>
      <w:r w:rsidRPr="003101B1">
        <w:rPr>
          <w:lang w:val="en-GB" w:eastAsia="ro-MD"/>
        </w:rPr>
        <w:t>and liabilities – eligible liabilities instruments</w:t>
      </w:r>
      <w:r w:rsidR="00BE6378" w:rsidRPr="003101B1">
        <w:rPr>
          <w:lang w:val="en-GB" w:eastAsia="ro-MD"/>
        </w:rPr>
        <w:t>”;</w:t>
      </w:r>
    </w:p>
    <w:p w14:paraId="70D79C29" w14:textId="51550EE6" w:rsidR="00BE6378" w:rsidRPr="003101B1" w:rsidRDefault="0083388C" w:rsidP="00C936FF">
      <w:pPr>
        <w:pStyle w:val="ListParagraph"/>
        <w:numPr>
          <w:ilvl w:val="2"/>
          <w:numId w:val="27"/>
        </w:numPr>
        <w:ind w:left="0" w:firstLine="567"/>
        <w:rPr>
          <w:lang w:val="en-GB" w:eastAsia="ro-MD"/>
        </w:rPr>
      </w:pPr>
      <w:r w:rsidRPr="003101B1">
        <w:rPr>
          <w:lang w:val="en-GB" w:eastAsia="ro-MD"/>
        </w:rPr>
        <w:t>paragraph</w:t>
      </w:r>
      <w:r w:rsidR="00BE6378" w:rsidRPr="003101B1">
        <w:rPr>
          <w:lang w:val="en-GB" w:eastAsia="ro-MD"/>
        </w:rPr>
        <w:t xml:space="preserve"> 1 </w:t>
      </w:r>
      <w:r w:rsidRPr="003101B1">
        <w:rPr>
          <w:lang w:val="en-GB" w:eastAsia="ro-MD"/>
        </w:rPr>
        <w:t>shall be supplemented by</w:t>
      </w:r>
      <w:r w:rsidR="00BE6378" w:rsidRPr="003101B1">
        <w:rPr>
          <w:lang w:val="en-GB" w:eastAsia="ro-MD"/>
        </w:rPr>
        <w:t xml:space="preserve"> </w:t>
      </w:r>
      <w:r w:rsidRPr="003101B1">
        <w:rPr>
          <w:lang w:val="en-GB" w:eastAsia="ro-MD"/>
        </w:rPr>
        <w:t>the words</w:t>
      </w:r>
      <w:r w:rsidR="00BE6378" w:rsidRPr="003101B1">
        <w:rPr>
          <w:lang w:val="en-GB" w:eastAsia="ro-MD"/>
        </w:rPr>
        <w:t xml:space="preserve"> </w:t>
      </w:r>
      <w:r w:rsidRPr="003101B1">
        <w:rPr>
          <w:lang w:val="en-GB" w:eastAsia="ro-MD"/>
        </w:rPr>
        <w:t>“</w:t>
      </w:r>
      <w:bookmarkStart w:id="26" w:name="_Hlk228441898"/>
      <w:r w:rsidRPr="003101B1">
        <w:rPr>
          <w:lang w:val="en-GB" w:eastAsia="ro-MD"/>
        </w:rPr>
        <w:t>or the bank’s liabilities</w:t>
      </w:r>
      <w:bookmarkEnd w:id="26"/>
      <w:r w:rsidR="00BE6378" w:rsidRPr="003101B1">
        <w:rPr>
          <w:lang w:val="en-GB" w:eastAsia="ro-MD"/>
        </w:rPr>
        <w:t>”;</w:t>
      </w:r>
    </w:p>
    <w:p w14:paraId="0AC2D39A" w14:textId="55E0A33F" w:rsidR="00BE6378" w:rsidRPr="003101B1" w:rsidRDefault="0083388C" w:rsidP="00C936FF">
      <w:pPr>
        <w:pStyle w:val="ListParagraph"/>
        <w:numPr>
          <w:ilvl w:val="2"/>
          <w:numId w:val="27"/>
        </w:numPr>
        <w:ind w:left="0" w:firstLine="567"/>
        <w:jc w:val="both"/>
        <w:rPr>
          <w:lang w:val="en-GB" w:eastAsia="ro-MD"/>
        </w:rPr>
      </w:pPr>
      <w:r w:rsidRPr="003101B1">
        <w:rPr>
          <w:lang w:val="en-GB" w:eastAsia="ro-MD"/>
        </w:rPr>
        <w:t>in paragraph</w:t>
      </w:r>
      <w:r w:rsidR="00143DCB" w:rsidRPr="003101B1">
        <w:rPr>
          <w:lang w:val="en-GB" w:eastAsia="ro-MD"/>
        </w:rPr>
        <w:t xml:space="preserve"> 2</w:t>
      </w:r>
      <w:r w:rsidR="00E13ECC" w:rsidRPr="003101B1">
        <w:rPr>
          <w:lang w:val="en-GB" w:eastAsia="ro-MD"/>
        </w:rPr>
        <w:t>,</w:t>
      </w:r>
      <w:r w:rsidR="00143DCB" w:rsidRPr="003101B1">
        <w:rPr>
          <w:lang w:val="en-GB" w:eastAsia="ro-MD"/>
        </w:rPr>
        <w:t xml:space="preserve"> </w:t>
      </w:r>
      <w:r w:rsidRPr="003101B1">
        <w:rPr>
          <w:lang w:val="en-GB" w:eastAsia="ro-MD"/>
        </w:rPr>
        <w:t>the words</w:t>
      </w:r>
      <w:r w:rsidR="00BE6378" w:rsidRPr="003101B1">
        <w:rPr>
          <w:lang w:val="en-GB" w:eastAsia="ro-MD"/>
        </w:rPr>
        <w:t xml:space="preserve"> </w:t>
      </w:r>
      <w:r w:rsidRPr="003101B1">
        <w:rPr>
          <w:lang w:val="en-GB" w:eastAsia="ro-MD"/>
        </w:rPr>
        <w:t>“</w:t>
      </w:r>
      <w:r w:rsidRPr="003101B1">
        <w:rPr>
          <w:lang w:val="en-GB"/>
        </w:rPr>
        <w:t>capital instruments of</w:t>
      </w:r>
      <w:r w:rsidR="00BE6378" w:rsidRPr="003101B1">
        <w:rPr>
          <w:lang w:val="en-GB" w:eastAsia="ro-MD"/>
        </w:rPr>
        <w:t xml:space="preserve">” </w:t>
      </w:r>
      <w:r w:rsidRPr="003101B1">
        <w:rPr>
          <w:lang w:val="en-GB" w:eastAsia="ro-MD"/>
        </w:rPr>
        <w:t>shall be replaced by</w:t>
      </w:r>
      <w:r w:rsidR="00BE6378" w:rsidRPr="003101B1">
        <w:rPr>
          <w:lang w:val="en-GB" w:eastAsia="ro-MD"/>
        </w:rPr>
        <w:t xml:space="preserve"> </w:t>
      </w:r>
      <w:r w:rsidRPr="003101B1">
        <w:rPr>
          <w:lang w:val="en-GB" w:eastAsia="ro-MD"/>
        </w:rPr>
        <w:t>“capital instruments or liabilities</w:t>
      </w:r>
      <w:r w:rsidR="00BE6378" w:rsidRPr="003101B1">
        <w:rPr>
          <w:lang w:val="en-GB" w:eastAsia="ro-MD"/>
        </w:rPr>
        <w:t>”</w:t>
      </w:r>
      <w:r w:rsidR="00143DCB" w:rsidRPr="003101B1">
        <w:rPr>
          <w:lang w:val="en-GB" w:eastAsia="ro-MD"/>
        </w:rPr>
        <w:t xml:space="preserve"> </w:t>
      </w:r>
      <w:r w:rsidRPr="003101B1">
        <w:rPr>
          <w:lang w:val="en-GB" w:eastAsia="ro-MD"/>
        </w:rPr>
        <w:t>and after the words</w:t>
      </w:r>
      <w:r w:rsidR="00143DCB" w:rsidRPr="003101B1">
        <w:rPr>
          <w:lang w:val="en-GB" w:eastAsia="ro-MD"/>
        </w:rPr>
        <w:t xml:space="preserve"> </w:t>
      </w:r>
      <w:r w:rsidRPr="003101B1">
        <w:rPr>
          <w:lang w:val="en-GB" w:eastAsia="ro-MD"/>
        </w:rPr>
        <w:t>“equity instruments</w:t>
      </w:r>
      <w:r w:rsidR="003456C5" w:rsidRPr="003101B1">
        <w:rPr>
          <w:lang w:val="en-GB" w:eastAsia="ro-MD"/>
        </w:rPr>
        <w:t xml:space="preserve">” </w:t>
      </w:r>
      <w:r w:rsidRPr="003101B1">
        <w:rPr>
          <w:lang w:val="en-GB" w:eastAsia="ro-MD"/>
        </w:rPr>
        <w:t>shall be supplemented by</w:t>
      </w:r>
      <w:r w:rsidR="003456C5" w:rsidRPr="003101B1">
        <w:rPr>
          <w:lang w:val="en-GB" w:eastAsia="ro-MD"/>
        </w:rPr>
        <w:t xml:space="preserve"> </w:t>
      </w:r>
      <w:r w:rsidRPr="003101B1">
        <w:rPr>
          <w:lang w:val="en-GB" w:eastAsia="ro-MD"/>
        </w:rPr>
        <w:t>“or liabilities</w:t>
      </w:r>
      <w:r w:rsidR="003456C5" w:rsidRPr="003101B1">
        <w:rPr>
          <w:lang w:val="en-GB" w:eastAsia="ro-MD"/>
        </w:rPr>
        <w:t>”</w:t>
      </w:r>
      <w:r w:rsidR="00BE6378" w:rsidRPr="003101B1">
        <w:rPr>
          <w:lang w:val="en-GB" w:eastAsia="ro-MD"/>
        </w:rPr>
        <w:t>;</w:t>
      </w:r>
    </w:p>
    <w:p w14:paraId="6C0C8D73" w14:textId="25C5CA68" w:rsidR="003456C5" w:rsidRPr="003101B1" w:rsidRDefault="0083388C" w:rsidP="00C936FF">
      <w:pPr>
        <w:pStyle w:val="ListParagraph"/>
        <w:numPr>
          <w:ilvl w:val="2"/>
          <w:numId w:val="27"/>
        </w:numPr>
        <w:ind w:left="0" w:firstLine="567"/>
        <w:jc w:val="both"/>
        <w:rPr>
          <w:lang w:val="en-GB" w:eastAsia="ro-MD"/>
        </w:rPr>
      </w:pPr>
      <w:r w:rsidRPr="003101B1">
        <w:rPr>
          <w:lang w:val="en-GB" w:eastAsia="ro-MD"/>
        </w:rPr>
        <w:t>paragraphs</w:t>
      </w:r>
      <w:r w:rsidR="00BE6378" w:rsidRPr="003101B1">
        <w:rPr>
          <w:lang w:val="en-GB" w:eastAsia="ro-MD"/>
        </w:rPr>
        <w:t xml:space="preserve"> 3 </w:t>
      </w:r>
      <w:r w:rsidRPr="003101B1">
        <w:rPr>
          <w:lang w:val="en-GB" w:eastAsia="ro-MD"/>
        </w:rPr>
        <w:t>and</w:t>
      </w:r>
      <w:r w:rsidR="00F803AC" w:rsidRPr="003101B1">
        <w:rPr>
          <w:lang w:val="en-GB" w:eastAsia="ro-MD"/>
        </w:rPr>
        <w:t xml:space="preserve"> 4 </w:t>
      </w:r>
      <w:r w:rsidRPr="003101B1">
        <w:rPr>
          <w:lang w:val="en-GB" w:eastAsia="ro-MD"/>
        </w:rPr>
        <w:t>shall read as follows</w:t>
      </w:r>
      <w:r w:rsidR="003456C5" w:rsidRPr="003101B1">
        <w:rPr>
          <w:lang w:val="en-GB" w:eastAsia="ro-MD"/>
        </w:rPr>
        <w:t>:</w:t>
      </w:r>
    </w:p>
    <w:p w14:paraId="37815FC1" w14:textId="4DF88DE4" w:rsidR="00BE6378" w:rsidRPr="003101B1" w:rsidRDefault="0083388C" w:rsidP="00CC1861">
      <w:pPr>
        <w:jc w:val="both"/>
        <w:rPr>
          <w:lang w:val="en-GB" w:eastAsia="ro-MD"/>
        </w:rPr>
      </w:pPr>
      <w:r w:rsidRPr="003101B1">
        <w:rPr>
          <w:lang w:val="en-GB" w:eastAsia="ro-MD"/>
        </w:rPr>
        <w:t>“</w:t>
      </w:r>
      <w:r w:rsidR="003456C5" w:rsidRPr="003101B1">
        <w:rPr>
          <w:b/>
          <w:bCs/>
          <w:lang w:val="en-GB" w:eastAsia="ro-MD"/>
        </w:rPr>
        <w:t>3.</w:t>
      </w:r>
      <w:r w:rsidR="003456C5" w:rsidRPr="003101B1">
        <w:rPr>
          <w:lang w:val="en-GB" w:eastAsia="ro-MD"/>
        </w:rPr>
        <w:t xml:space="preserve"> </w:t>
      </w:r>
      <w:bookmarkStart w:id="27" w:name="_Hlk207000509"/>
      <w:r w:rsidRPr="003101B1">
        <w:rPr>
          <w:lang w:val="en-GB" w:eastAsia="ro-MD"/>
        </w:rPr>
        <w:t xml:space="preserve">Indirect financing of capital instruments pursuant to paragraphs 16 sub-paragraph 2), 70 sub-paragraph 3), 97 sub-paragraph 3), as well as acquisition liabilities which have not been indirectly financed by the bank pursuant to paragraph </w:t>
      </w:r>
      <w:r w:rsidR="003456C5" w:rsidRPr="003101B1">
        <w:rPr>
          <w:lang w:val="en-GB" w:eastAsia="ro-MD"/>
        </w:rPr>
        <w:t>109</w:t>
      </w:r>
      <w:r w:rsidR="009145D6" w:rsidRPr="003101B1">
        <w:rPr>
          <w:vertAlign w:val="superscript"/>
          <w:lang w:val="en-GB" w:eastAsia="ro-MD"/>
        </w:rPr>
        <w:t>5</w:t>
      </w:r>
      <w:r w:rsidR="003456C5" w:rsidRPr="003101B1">
        <w:rPr>
          <w:lang w:val="en-GB" w:eastAsia="ro-MD"/>
        </w:rPr>
        <w:t xml:space="preserve"> </w:t>
      </w:r>
      <w:bookmarkEnd w:id="27"/>
      <w:r w:rsidRPr="003101B1">
        <w:rPr>
          <w:lang w:val="en-GB" w:eastAsia="ro-MD"/>
        </w:rPr>
        <w:t>shall be considered as financing which is not direct</w:t>
      </w:r>
      <w:r w:rsidR="003456C5" w:rsidRPr="003101B1">
        <w:rPr>
          <w:lang w:val="en-GB" w:eastAsia="ro-MD"/>
        </w:rPr>
        <w:t>.</w:t>
      </w:r>
      <w:r w:rsidR="00BE6378" w:rsidRPr="003101B1">
        <w:rPr>
          <w:lang w:val="en-GB" w:eastAsia="ro-MD"/>
        </w:rPr>
        <w:t>”;</w:t>
      </w:r>
    </w:p>
    <w:p w14:paraId="6ED33EB1" w14:textId="6BC84627" w:rsidR="00F803AC" w:rsidRPr="003101B1" w:rsidRDefault="00F803AC" w:rsidP="00F803AC">
      <w:pPr>
        <w:jc w:val="both"/>
        <w:rPr>
          <w:lang w:val="en-GB" w:eastAsia="ro-MD"/>
        </w:rPr>
      </w:pPr>
      <w:r w:rsidRPr="003101B1">
        <w:rPr>
          <w:b/>
          <w:bCs/>
          <w:lang w:val="en-GB" w:eastAsia="ro-MD"/>
        </w:rPr>
        <w:t>4.</w:t>
      </w:r>
      <w:r w:rsidRPr="003101B1">
        <w:rPr>
          <w:lang w:val="en-GB" w:eastAsia="ro-MD"/>
        </w:rPr>
        <w:t xml:space="preserve"> </w:t>
      </w:r>
      <w:r w:rsidR="0083388C" w:rsidRPr="003101B1">
        <w:rPr>
          <w:lang w:val="en-GB" w:eastAsia="ro-MD"/>
        </w:rPr>
        <w:t>The applicable forms and nature of indirect funding related to the acquisition of capital instruments and liabilities of a bank include the following</w:t>
      </w:r>
      <w:r w:rsidRPr="003101B1">
        <w:rPr>
          <w:lang w:val="en-GB" w:eastAsia="ro-MD"/>
        </w:rPr>
        <w:t>:</w:t>
      </w:r>
    </w:p>
    <w:p w14:paraId="391904F0" w14:textId="4CB49855" w:rsidR="00F803AC" w:rsidRPr="003101B1" w:rsidRDefault="00F803AC" w:rsidP="00D96A94">
      <w:pPr>
        <w:jc w:val="both"/>
        <w:rPr>
          <w:lang w:val="en-GB" w:eastAsia="ro-MD"/>
        </w:rPr>
      </w:pPr>
      <w:r w:rsidRPr="003101B1">
        <w:rPr>
          <w:lang w:val="en-GB" w:eastAsia="ro-MD"/>
        </w:rPr>
        <w:t xml:space="preserve">1) </w:t>
      </w:r>
      <w:r w:rsidR="0083388C" w:rsidRPr="003101B1">
        <w:rPr>
          <w:lang w:val="en-GB" w:eastAsia="ro-MD"/>
        </w:rPr>
        <w:t>finance the acquisition of ownership by an investor, at issuance or thereafter, of capital instruments or liabilities of a bank by any entities over which the bank has direct or indirect control or by entities within the scope of the bank’s accounting or prudential consolidation and/or within the scope of the bank’s supplementary supervision pursuant to Law No 250/2017</w:t>
      </w:r>
      <w:r w:rsidRPr="003101B1">
        <w:rPr>
          <w:lang w:val="en-GB" w:eastAsia="ro-MD"/>
        </w:rPr>
        <w:t>;</w:t>
      </w:r>
    </w:p>
    <w:p w14:paraId="0FDF2FC0" w14:textId="7B312F6C" w:rsidR="00F803AC" w:rsidRPr="003101B1" w:rsidRDefault="00F803AC" w:rsidP="00D96A94">
      <w:pPr>
        <w:jc w:val="both"/>
        <w:rPr>
          <w:lang w:val="en-GB" w:eastAsia="ro-MD"/>
        </w:rPr>
      </w:pPr>
      <w:r w:rsidRPr="003101B1">
        <w:rPr>
          <w:lang w:val="en-GB" w:eastAsia="ro-MD"/>
        </w:rPr>
        <w:t xml:space="preserve">2) </w:t>
      </w:r>
      <w:r w:rsidR="0083388C" w:rsidRPr="003101B1">
        <w:rPr>
          <w:lang w:val="en-GB" w:eastAsia="ro-MD"/>
        </w:rPr>
        <w:t>financing of the acquisition of ownership by an investor, at issuance or thereafter, of capital instruments or liabilities of a bank by entities which are protected by a guarantee or the use of a credit derivative, or which are otherwise insured, so that the credit risk is transferred to the bank or to any of the entities over which that bank has direct or indirect control, or by any entity included in the scope of the bank’s accounting or prudential consolidation and/or in the scope of the bank’s supplementary supervision pursuant to Law No 250/2017</w:t>
      </w:r>
      <w:r w:rsidRPr="003101B1">
        <w:rPr>
          <w:lang w:val="en-GB" w:eastAsia="ro-MD"/>
        </w:rPr>
        <w:t>;</w:t>
      </w:r>
    </w:p>
    <w:p w14:paraId="1F88A668" w14:textId="671C8DD3" w:rsidR="00F803AC" w:rsidRPr="003101B1" w:rsidRDefault="00F803AC" w:rsidP="00D96A94">
      <w:pPr>
        <w:jc w:val="both"/>
        <w:rPr>
          <w:lang w:val="en-GB" w:eastAsia="ro-MD"/>
        </w:rPr>
      </w:pPr>
      <w:r w:rsidRPr="003101B1">
        <w:rPr>
          <w:lang w:val="en-GB" w:eastAsia="ro-MD"/>
        </w:rPr>
        <w:t xml:space="preserve">3) </w:t>
      </w:r>
      <w:r w:rsidR="0083388C" w:rsidRPr="003101B1">
        <w:rPr>
          <w:lang w:val="en-GB" w:eastAsia="ro-MD"/>
        </w:rPr>
        <w:t>financing provided to a borrower who transfers the financing to the ultimate investor for the purchase, at issue or thereafter, of capital instruments of a bank</w:t>
      </w:r>
      <w:r w:rsidRPr="003101B1">
        <w:rPr>
          <w:lang w:val="en-GB" w:eastAsia="ro-MD"/>
        </w:rPr>
        <w:t>.”;</w:t>
      </w:r>
    </w:p>
    <w:p w14:paraId="107C51A4" w14:textId="6039DE8E" w:rsidR="0093627E" w:rsidRPr="003101B1" w:rsidRDefault="0083388C" w:rsidP="00C936FF">
      <w:pPr>
        <w:pStyle w:val="ListParagraph"/>
        <w:numPr>
          <w:ilvl w:val="2"/>
          <w:numId w:val="27"/>
        </w:numPr>
        <w:ind w:left="0" w:firstLine="567"/>
        <w:jc w:val="both"/>
        <w:rPr>
          <w:lang w:val="en-GB" w:eastAsia="ro-MD"/>
        </w:rPr>
      </w:pPr>
      <w:r w:rsidRPr="003101B1">
        <w:rPr>
          <w:lang w:val="en-GB" w:eastAsia="ro-MD"/>
        </w:rPr>
        <w:t>paragraph</w:t>
      </w:r>
      <w:r w:rsidR="0093627E" w:rsidRPr="003101B1">
        <w:rPr>
          <w:lang w:val="en-GB" w:eastAsia="ro-MD"/>
        </w:rPr>
        <w:t xml:space="preserve"> 5</w:t>
      </w:r>
      <w:r w:rsidR="0093627E" w:rsidRPr="003101B1">
        <w:rPr>
          <w:vertAlign w:val="superscript"/>
          <w:lang w:val="en-GB" w:eastAsia="ro-MD"/>
        </w:rPr>
        <w:t xml:space="preserve">1 </w:t>
      </w:r>
      <w:r w:rsidRPr="003101B1">
        <w:rPr>
          <w:lang w:val="en-GB" w:eastAsia="ro-MD"/>
        </w:rPr>
        <w:t>shall be added, reading as follows</w:t>
      </w:r>
      <w:r w:rsidR="0093627E" w:rsidRPr="003101B1">
        <w:rPr>
          <w:lang w:val="en-GB" w:eastAsia="ro-MD"/>
        </w:rPr>
        <w:t>:</w:t>
      </w:r>
    </w:p>
    <w:p w14:paraId="1A043CD1" w14:textId="02476C39" w:rsidR="0093627E" w:rsidRPr="003101B1" w:rsidRDefault="004264DC" w:rsidP="0093627E">
      <w:pPr>
        <w:jc w:val="both"/>
        <w:rPr>
          <w:lang w:val="en-GB" w:eastAsia="ro-MD"/>
        </w:rPr>
      </w:pPr>
      <w:r w:rsidRPr="003101B1">
        <w:rPr>
          <w:lang w:val="en-GB" w:eastAsia="ro-MD"/>
        </w:rPr>
        <w:t>“</w:t>
      </w:r>
      <w:r w:rsidR="0093627E" w:rsidRPr="003101B1">
        <w:rPr>
          <w:b/>
          <w:bCs/>
          <w:lang w:val="en-GB" w:eastAsia="ro-MD"/>
        </w:rPr>
        <w:t>5</w:t>
      </w:r>
      <w:r w:rsidR="0093627E" w:rsidRPr="003101B1">
        <w:rPr>
          <w:b/>
          <w:bCs/>
          <w:vertAlign w:val="superscript"/>
          <w:lang w:val="en-GB" w:eastAsia="ro-MD"/>
        </w:rPr>
        <w:t>1</w:t>
      </w:r>
      <w:r w:rsidR="0093627E" w:rsidRPr="003101B1">
        <w:rPr>
          <w:b/>
          <w:bCs/>
          <w:lang w:val="en-GB" w:eastAsia="ro-MD"/>
        </w:rPr>
        <w:t>.</w:t>
      </w:r>
      <w:r w:rsidR="0093627E" w:rsidRPr="003101B1">
        <w:rPr>
          <w:lang w:val="en-GB" w:eastAsia="ro-MD"/>
        </w:rPr>
        <w:t xml:space="preserve"> </w:t>
      </w:r>
      <w:r w:rsidRPr="003101B1">
        <w:rPr>
          <w:lang w:val="en-GB" w:eastAsia="ro-MD"/>
        </w:rPr>
        <w:t>The applicable forms and nature of indirect funding related to the acquisition of ownership of a bank’s capital instruments and liabilities include circular intra-group funding. For this purpose, circular intragroup financing means any of the following</w:t>
      </w:r>
      <w:r w:rsidR="0093627E" w:rsidRPr="003101B1">
        <w:rPr>
          <w:lang w:val="en-GB" w:eastAsia="ro-MD"/>
        </w:rPr>
        <w:t>:</w:t>
      </w:r>
    </w:p>
    <w:p w14:paraId="2F9DDB71" w14:textId="68B29C75" w:rsidR="0093627E" w:rsidRPr="003101B1" w:rsidRDefault="0093627E" w:rsidP="0093627E">
      <w:pPr>
        <w:jc w:val="both"/>
        <w:rPr>
          <w:lang w:val="en-GB" w:eastAsia="ro-MD"/>
        </w:rPr>
      </w:pPr>
      <w:r w:rsidRPr="003101B1">
        <w:rPr>
          <w:lang w:val="en-GB" w:eastAsia="ro-MD"/>
        </w:rPr>
        <w:t xml:space="preserve">1) </w:t>
      </w:r>
      <w:r w:rsidR="004264DC" w:rsidRPr="003101B1">
        <w:rPr>
          <w:lang w:val="en-GB" w:eastAsia="ro-MD"/>
        </w:rPr>
        <w:t xml:space="preserve">situations where a bank has provided credit or other financing in any form to one of the entities referred to in paragraph 4 sub-paragraph 1) through another entity referred to in the same </w:t>
      </w:r>
      <w:r w:rsidR="00F6457F" w:rsidRPr="003101B1">
        <w:rPr>
          <w:lang w:val="en-GB" w:eastAsia="ro-MD"/>
        </w:rPr>
        <w:t xml:space="preserve">paragraph </w:t>
      </w:r>
      <w:r w:rsidR="004264DC" w:rsidRPr="003101B1">
        <w:rPr>
          <w:lang w:val="en-GB" w:eastAsia="ro-MD"/>
        </w:rPr>
        <w:t>that is used to acquire ownership of the bank’s capital instruments or liabilities</w:t>
      </w:r>
      <w:r w:rsidRPr="003101B1">
        <w:rPr>
          <w:lang w:val="en-GB" w:eastAsia="ro-MD"/>
        </w:rPr>
        <w:t>;</w:t>
      </w:r>
    </w:p>
    <w:p w14:paraId="2C10D265" w14:textId="6E45EA0F" w:rsidR="0093627E" w:rsidRPr="003101B1" w:rsidRDefault="0093627E" w:rsidP="0093627E">
      <w:pPr>
        <w:jc w:val="both"/>
        <w:rPr>
          <w:lang w:val="en-GB" w:eastAsia="ro-MD"/>
        </w:rPr>
      </w:pPr>
      <w:r w:rsidRPr="003101B1">
        <w:rPr>
          <w:lang w:val="en-GB" w:eastAsia="ro-MD"/>
        </w:rPr>
        <w:t xml:space="preserve">2) </w:t>
      </w:r>
      <w:r w:rsidR="004264DC" w:rsidRPr="003101B1">
        <w:rPr>
          <w:lang w:val="en-GB" w:eastAsia="ro-MD"/>
        </w:rPr>
        <w:t xml:space="preserve">financing provided to one of the entities referred to in paragraph 4 sub-paragraph 1) for purposes other than the acquisition of ownership of capital instruments or liabilities of a bank through another entity referred to in the same </w:t>
      </w:r>
      <w:r w:rsidR="00F6457F" w:rsidRPr="003101B1">
        <w:rPr>
          <w:lang w:val="en-GB" w:eastAsia="ro-MD"/>
        </w:rPr>
        <w:t>paragraph</w:t>
      </w:r>
      <w:r w:rsidR="004264DC" w:rsidRPr="003101B1">
        <w:rPr>
          <w:lang w:val="en-GB" w:eastAsia="ro-MD"/>
        </w:rPr>
        <w:t>, provided that, taking into account any additional guidance provided by the National Bank of Moldova as the competent authority for capital instruments or the resolution authority for liabilities, the bank is not able to demonstrate that the transaction is carried out on similar terms as other transactions with third parties and that the investor does not need to rely on distributions or the sale of capital instruments or liabilities held to bear interest payments and repayment of funding</w:t>
      </w:r>
      <w:r w:rsidRPr="003101B1">
        <w:rPr>
          <w:lang w:val="en-GB" w:eastAsia="ro-MD"/>
        </w:rPr>
        <w:t>.”</w:t>
      </w:r>
      <w:r w:rsidR="00CC1861" w:rsidRPr="003101B1">
        <w:rPr>
          <w:lang w:val="en-GB" w:eastAsia="ro-MD"/>
        </w:rPr>
        <w:t>;</w:t>
      </w:r>
    </w:p>
    <w:p w14:paraId="3D0E2F93" w14:textId="1FBA46EB" w:rsidR="0093627E" w:rsidRPr="003101B1" w:rsidRDefault="004264DC" w:rsidP="00C936FF">
      <w:pPr>
        <w:pStyle w:val="ListParagraph"/>
        <w:numPr>
          <w:ilvl w:val="2"/>
          <w:numId w:val="27"/>
        </w:numPr>
        <w:ind w:left="0" w:firstLine="567"/>
        <w:jc w:val="both"/>
        <w:rPr>
          <w:lang w:val="en-GB" w:eastAsia="ro-MD"/>
        </w:rPr>
      </w:pPr>
      <w:r w:rsidRPr="003101B1">
        <w:rPr>
          <w:lang w:val="en-GB" w:eastAsia="ro-MD"/>
        </w:rPr>
        <w:t>in paragraph</w:t>
      </w:r>
      <w:r w:rsidR="0093627E" w:rsidRPr="003101B1">
        <w:rPr>
          <w:lang w:val="en-GB" w:eastAsia="ro-MD"/>
        </w:rPr>
        <w:t xml:space="preserve"> 6</w:t>
      </w:r>
      <w:r w:rsidR="00860970" w:rsidRPr="003101B1">
        <w:rPr>
          <w:lang w:val="en-GB" w:eastAsia="ro-MD"/>
        </w:rPr>
        <w:t>,</w:t>
      </w:r>
      <w:r w:rsidR="0093627E" w:rsidRPr="003101B1">
        <w:rPr>
          <w:lang w:val="en-GB" w:eastAsia="ro-MD"/>
        </w:rPr>
        <w:t xml:space="preserve"> </w:t>
      </w:r>
      <w:r w:rsidRPr="003101B1">
        <w:rPr>
          <w:lang w:val="en-GB" w:eastAsia="ro-MD"/>
        </w:rPr>
        <w:t>after the words</w:t>
      </w:r>
      <w:r w:rsidR="0093627E" w:rsidRPr="003101B1">
        <w:rPr>
          <w:lang w:val="en-GB" w:eastAsia="ro-MD"/>
        </w:rPr>
        <w:t xml:space="preserve"> </w:t>
      </w:r>
      <w:r w:rsidR="003101B1">
        <w:rPr>
          <w:lang w:val="en-GB" w:eastAsia="ro-MD"/>
        </w:rPr>
        <w:t>“</w:t>
      </w:r>
      <w:r w:rsidRPr="003101B1">
        <w:rPr>
          <w:lang w:val="en-GB"/>
        </w:rPr>
        <w:t>capital instrument</w:t>
      </w:r>
      <w:r w:rsidR="0093627E" w:rsidRPr="003101B1">
        <w:rPr>
          <w:lang w:val="en-GB" w:eastAsia="ro-MD"/>
        </w:rPr>
        <w:t xml:space="preserve">” </w:t>
      </w:r>
      <w:r w:rsidRPr="003101B1">
        <w:rPr>
          <w:lang w:val="en-GB" w:eastAsia="ro-MD"/>
        </w:rPr>
        <w:t>shall be supplemented by</w:t>
      </w:r>
      <w:r w:rsidR="00977518" w:rsidRPr="003101B1">
        <w:rPr>
          <w:lang w:val="en-GB" w:eastAsia="ro-MD"/>
        </w:rPr>
        <w:t xml:space="preserve"> </w:t>
      </w:r>
      <w:r w:rsidRPr="003101B1">
        <w:rPr>
          <w:lang w:val="en-GB" w:eastAsia="ro-MD"/>
        </w:rPr>
        <w:t>“or a liability</w:t>
      </w:r>
      <w:r w:rsidR="00977518" w:rsidRPr="003101B1">
        <w:rPr>
          <w:lang w:val="en-GB" w:eastAsia="ro-MD"/>
        </w:rPr>
        <w:t>”;</w:t>
      </w:r>
    </w:p>
    <w:p w14:paraId="26123A98" w14:textId="36AECBD8" w:rsidR="00977518" w:rsidRPr="003101B1" w:rsidRDefault="004264DC" w:rsidP="00C936FF">
      <w:pPr>
        <w:pStyle w:val="ListParagraph"/>
        <w:numPr>
          <w:ilvl w:val="2"/>
          <w:numId w:val="27"/>
        </w:numPr>
        <w:ind w:left="0" w:firstLine="567"/>
        <w:jc w:val="both"/>
        <w:rPr>
          <w:lang w:val="en-GB" w:eastAsia="ro-MD"/>
        </w:rPr>
      </w:pPr>
      <w:r w:rsidRPr="003101B1">
        <w:rPr>
          <w:lang w:val="en-GB" w:eastAsia="ro-MD"/>
        </w:rPr>
        <w:t>in paragraph</w:t>
      </w:r>
      <w:r w:rsidR="00977518" w:rsidRPr="003101B1">
        <w:rPr>
          <w:lang w:val="en-GB" w:eastAsia="ro-MD"/>
        </w:rPr>
        <w:t xml:space="preserve"> 7</w:t>
      </w:r>
      <w:r w:rsidR="00860970" w:rsidRPr="003101B1">
        <w:rPr>
          <w:lang w:val="en-GB" w:eastAsia="ro-MD"/>
        </w:rPr>
        <w:t>,</w:t>
      </w:r>
      <w:r w:rsidR="00977518" w:rsidRPr="003101B1">
        <w:rPr>
          <w:lang w:val="en-GB" w:eastAsia="ro-MD"/>
        </w:rPr>
        <w:t xml:space="preserve"> </w:t>
      </w:r>
      <w:r w:rsidRPr="003101B1">
        <w:rPr>
          <w:lang w:val="en-GB" w:eastAsia="ro-MD"/>
        </w:rPr>
        <w:t>the words</w:t>
      </w:r>
      <w:r w:rsidR="00977518" w:rsidRPr="003101B1">
        <w:rPr>
          <w:lang w:val="en-GB" w:eastAsia="ro-MD"/>
        </w:rPr>
        <w:t xml:space="preserve"> </w:t>
      </w:r>
      <w:r w:rsidRPr="003101B1">
        <w:rPr>
          <w:lang w:val="en-GB" w:eastAsia="ro-MD"/>
        </w:rPr>
        <w:t>“</w:t>
      </w:r>
      <w:r w:rsidRPr="003101B1">
        <w:rPr>
          <w:lang w:val="en-GB"/>
        </w:rPr>
        <w:t>the purpose of directly or indirectly subscribing to bank capital instruments</w:t>
      </w:r>
      <w:r w:rsidR="00977518" w:rsidRPr="003101B1">
        <w:rPr>
          <w:lang w:val="en-GB" w:eastAsia="ro-MD"/>
        </w:rPr>
        <w:t xml:space="preserve">” </w:t>
      </w:r>
      <w:r w:rsidRPr="003101B1">
        <w:rPr>
          <w:lang w:val="en-GB" w:eastAsia="ro-MD"/>
        </w:rPr>
        <w:t>shall be replaced by the words</w:t>
      </w:r>
      <w:r w:rsidR="00977518" w:rsidRPr="003101B1">
        <w:rPr>
          <w:lang w:val="en-GB" w:eastAsia="ro-MD"/>
        </w:rPr>
        <w:t xml:space="preserve"> </w:t>
      </w:r>
      <w:r w:rsidRPr="003101B1">
        <w:rPr>
          <w:lang w:val="en-GB" w:eastAsia="ro-MD"/>
        </w:rPr>
        <w:t>“for the purpose of acquiring directly or indirectly capital instruments or liabilities of the bank</w:t>
      </w:r>
      <w:r w:rsidR="00977518" w:rsidRPr="003101B1">
        <w:rPr>
          <w:lang w:val="en-GB" w:eastAsia="ro-MD"/>
        </w:rPr>
        <w:t>”.</w:t>
      </w:r>
    </w:p>
    <w:p w14:paraId="4530B504" w14:textId="7D6EDEA2" w:rsidR="00977518" w:rsidRPr="003101B1" w:rsidRDefault="004264DC" w:rsidP="00C936FF">
      <w:pPr>
        <w:pStyle w:val="ListParagraph"/>
        <w:numPr>
          <w:ilvl w:val="1"/>
          <w:numId w:val="27"/>
        </w:numPr>
        <w:spacing w:before="80"/>
        <w:ind w:left="0" w:firstLine="567"/>
        <w:contextualSpacing w:val="0"/>
        <w:jc w:val="both"/>
        <w:rPr>
          <w:lang w:val="en-GB" w:eastAsia="ro-MD"/>
        </w:rPr>
      </w:pPr>
      <w:r w:rsidRPr="003101B1">
        <w:rPr>
          <w:lang w:val="en-GB" w:eastAsia="ro-MD"/>
        </w:rPr>
        <w:t>Annex</w:t>
      </w:r>
      <w:r w:rsidR="00860970" w:rsidRPr="003101B1">
        <w:rPr>
          <w:lang w:val="en-GB" w:eastAsia="ro-MD"/>
        </w:rPr>
        <w:t xml:space="preserve"> </w:t>
      </w:r>
      <w:r w:rsidR="00977518" w:rsidRPr="003101B1">
        <w:rPr>
          <w:lang w:val="en-GB" w:eastAsia="ro-MD"/>
        </w:rPr>
        <w:t>3</w:t>
      </w:r>
      <w:r w:rsidR="00977518" w:rsidRPr="003101B1">
        <w:rPr>
          <w:vertAlign w:val="superscript"/>
          <w:lang w:val="en-GB" w:eastAsia="ro-MD"/>
        </w:rPr>
        <w:t>1</w:t>
      </w:r>
      <w:r w:rsidR="00977518" w:rsidRPr="003101B1">
        <w:rPr>
          <w:lang w:val="en-GB" w:eastAsia="ro-MD"/>
        </w:rPr>
        <w:t xml:space="preserve"> </w:t>
      </w:r>
      <w:r w:rsidRPr="003101B1">
        <w:rPr>
          <w:lang w:val="en-GB" w:eastAsia="ro-MD"/>
        </w:rPr>
        <w:t>shall be added with the following content</w:t>
      </w:r>
      <w:r w:rsidR="00977518" w:rsidRPr="003101B1">
        <w:rPr>
          <w:lang w:val="en-GB" w:eastAsia="ro-MD"/>
        </w:rPr>
        <w:t xml:space="preserve">: </w:t>
      </w:r>
    </w:p>
    <w:p w14:paraId="7ABC9787" w14:textId="2C5EC943" w:rsidR="00FC2194" w:rsidRPr="003101B1" w:rsidRDefault="004264DC" w:rsidP="00FC2194">
      <w:pPr>
        <w:jc w:val="right"/>
        <w:rPr>
          <w:lang w:val="en-GB" w:eastAsia="ro-MD"/>
        </w:rPr>
      </w:pPr>
      <w:r w:rsidRPr="003101B1">
        <w:rPr>
          <w:lang w:val="en-GB" w:eastAsia="ro-MD"/>
        </w:rPr>
        <w:t>“</w:t>
      </w:r>
      <w:r w:rsidR="00FC2194" w:rsidRPr="003101B1">
        <w:rPr>
          <w:lang w:val="en-GB" w:eastAsia="ro-MD"/>
        </w:rPr>
        <w:t>An</w:t>
      </w:r>
      <w:r w:rsidRPr="003101B1">
        <w:rPr>
          <w:lang w:val="en-GB" w:eastAsia="ro-MD"/>
        </w:rPr>
        <w:t>n</w:t>
      </w:r>
      <w:r w:rsidR="00FC2194" w:rsidRPr="003101B1">
        <w:rPr>
          <w:lang w:val="en-GB" w:eastAsia="ro-MD"/>
        </w:rPr>
        <w:t>ex 3</w:t>
      </w:r>
      <w:r w:rsidR="00FC2194" w:rsidRPr="003101B1">
        <w:rPr>
          <w:vertAlign w:val="superscript"/>
          <w:lang w:val="en-GB" w:eastAsia="ro-MD"/>
        </w:rPr>
        <w:t>1</w:t>
      </w:r>
    </w:p>
    <w:p w14:paraId="3B62980F" w14:textId="509F0698" w:rsidR="00FC2194" w:rsidRPr="003101B1" w:rsidRDefault="00FF5ECD" w:rsidP="00FF5ECD">
      <w:pPr>
        <w:jc w:val="right"/>
        <w:rPr>
          <w:lang w:val="en-GB" w:eastAsia="ro-MD"/>
        </w:rPr>
      </w:pPr>
      <w:r w:rsidRPr="003101B1">
        <w:rPr>
          <w:lang w:val="en-GB" w:eastAsia="ro-MD"/>
        </w:rPr>
        <w:t>to the Regulation on own funds and capital requirements</w:t>
      </w:r>
    </w:p>
    <w:p w14:paraId="0F6EF53E" w14:textId="77777777" w:rsidR="008765A1" w:rsidRPr="003101B1" w:rsidRDefault="008765A1" w:rsidP="00FC2194">
      <w:pPr>
        <w:jc w:val="right"/>
        <w:rPr>
          <w:lang w:val="en-GB" w:eastAsia="ro-MD"/>
        </w:rPr>
      </w:pPr>
    </w:p>
    <w:p w14:paraId="665B1909" w14:textId="7F99F6D3" w:rsidR="00977518" w:rsidRPr="003101B1" w:rsidRDefault="00FF5ECD" w:rsidP="00977518">
      <w:pPr>
        <w:jc w:val="center"/>
        <w:rPr>
          <w:b/>
          <w:bCs/>
          <w:lang w:val="en-GB" w:eastAsia="ro-MD"/>
        </w:rPr>
      </w:pPr>
      <w:r w:rsidRPr="003101B1">
        <w:rPr>
          <w:b/>
          <w:bCs/>
          <w:lang w:val="en-GB" w:eastAsia="ro-MD"/>
        </w:rPr>
        <w:t>Cooperative credit societies, savings institutions, mutual societies and similar institutions</w:t>
      </w:r>
    </w:p>
    <w:p w14:paraId="51990267" w14:textId="43A7DB2A" w:rsidR="00977518" w:rsidRPr="003101B1" w:rsidRDefault="00FF5ECD" w:rsidP="00977518">
      <w:pPr>
        <w:jc w:val="both"/>
        <w:rPr>
          <w:b/>
          <w:bCs/>
          <w:lang w:val="en-GB" w:eastAsia="ro-MD"/>
        </w:rPr>
      </w:pPr>
      <w:r w:rsidRPr="003101B1">
        <w:rPr>
          <w:lang w:val="en-GB" w:eastAsia="ro-MD"/>
        </w:rPr>
        <w:t xml:space="preserve">A type of undertaking recognised under applicable national law qualifies as a cooperative society, savings institution, mutual or similar institution within the meaning of paragraph </w:t>
      </w:r>
      <w:r w:rsidR="00977518" w:rsidRPr="003101B1">
        <w:rPr>
          <w:lang w:val="en-GB" w:eastAsia="ro-MD"/>
        </w:rPr>
        <w:t>23</w:t>
      </w:r>
      <w:r w:rsidR="00977518" w:rsidRPr="003101B1">
        <w:rPr>
          <w:vertAlign w:val="superscript"/>
          <w:lang w:val="en-GB" w:eastAsia="ro-MD"/>
        </w:rPr>
        <w:t>2</w:t>
      </w:r>
      <w:r w:rsidR="00977518" w:rsidRPr="003101B1">
        <w:rPr>
          <w:lang w:val="en-GB" w:eastAsia="ro-MD"/>
        </w:rPr>
        <w:t xml:space="preserve"> </w:t>
      </w:r>
      <w:r w:rsidR="00147107" w:rsidRPr="003101B1">
        <w:rPr>
          <w:lang w:val="en-GB" w:eastAsia="ro-MD"/>
        </w:rPr>
        <w:t>of the Regulation on own funds and capital requirements where all of the following conditions are met</w:t>
      </w:r>
      <w:r w:rsidR="00977518" w:rsidRPr="003101B1">
        <w:rPr>
          <w:lang w:val="en-GB" w:eastAsia="ro-MD"/>
        </w:rPr>
        <w:t>:</w:t>
      </w:r>
    </w:p>
    <w:p w14:paraId="75FE08E0" w14:textId="6AB682C4" w:rsidR="00977518" w:rsidRPr="003101B1" w:rsidRDefault="00977518" w:rsidP="00977518">
      <w:pPr>
        <w:jc w:val="both"/>
        <w:rPr>
          <w:lang w:val="en-GB" w:eastAsia="ro-MD"/>
        </w:rPr>
      </w:pPr>
      <w:r w:rsidRPr="003101B1">
        <w:rPr>
          <w:b/>
          <w:bCs/>
          <w:lang w:val="en-GB" w:eastAsia="ro-MD"/>
        </w:rPr>
        <w:t>1</w:t>
      </w:r>
      <w:r w:rsidR="00CC1861" w:rsidRPr="003101B1">
        <w:rPr>
          <w:b/>
          <w:bCs/>
          <w:lang w:val="en-GB" w:eastAsia="ro-MD"/>
        </w:rPr>
        <w:t>.</w:t>
      </w:r>
      <w:r w:rsidRPr="003101B1">
        <w:rPr>
          <w:lang w:val="en-GB" w:eastAsia="ro-MD"/>
        </w:rPr>
        <w:t xml:space="preserve"> </w:t>
      </w:r>
      <w:r w:rsidR="00147107" w:rsidRPr="003101B1">
        <w:rPr>
          <w:lang w:val="en-GB" w:eastAsia="ro-MD"/>
        </w:rPr>
        <w:t>With respect to Common Equity Tier 1 capital, to qualify as a cooperative society, a savings institution, a mutual society or an institution similar to a cooperative society, a mutual society or a savings institution, the company may issue, according to the applicable national law or the statutes of the company, at the level of the legal person, only the capital instruments referred to in paragraphs</w:t>
      </w:r>
      <w:r w:rsidRPr="003101B1">
        <w:rPr>
          <w:lang w:val="en-GB" w:eastAsia="ro-MD"/>
        </w:rPr>
        <w:t xml:space="preserve"> 23</w:t>
      </w:r>
      <w:r w:rsidRPr="003101B1">
        <w:rPr>
          <w:vertAlign w:val="superscript"/>
          <w:lang w:val="en-GB" w:eastAsia="ro-MD"/>
        </w:rPr>
        <w:t>3</w:t>
      </w:r>
      <w:r w:rsidRPr="003101B1">
        <w:rPr>
          <w:lang w:val="en-GB" w:eastAsia="ro-MD"/>
        </w:rPr>
        <w:t>-23</w:t>
      </w:r>
      <w:r w:rsidRPr="003101B1">
        <w:rPr>
          <w:vertAlign w:val="superscript"/>
          <w:lang w:val="en-GB" w:eastAsia="ro-MD"/>
        </w:rPr>
        <w:t>8</w:t>
      </w:r>
      <w:r w:rsidRPr="003101B1">
        <w:rPr>
          <w:lang w:val="en-GB" w:eastAsia="ro-MD"/>
        </w:rPr>
        <w:t>.</w:t>
      </w:r>
    </w:p>
    <w:p w14:paraId="2DA762F3" w14:textId="16CA4601" w:rsidR="00977518" w:rsidRPr="003101B1" w:rsidRDefault="00977518" w:rsidP="00977518">
      <w:pPr>
        <w:jc w:val="both"/>
        <w:rPr>
          <w:lang w:val="en-GB" w:eastAsia="ro-MD"/>
        </w:rPr>
      </w:pPr>
      <w:r w:rsidRPr="003101B1">
        <w:rPr>
          <w:b/>
          <w:bCs/>
          <w:lang w:val="en-GB" w:eastAsia="ro-MD"/>
        </w:rPr>
        <w:t>2</w:t>
      </w:r>
      <w:r w:rsidR="00CC1861" w:rsidRPr="003101B1">
        <w:rPr>
          <w:b/>
          <w:bCs/>
          <w:lang w:val="en-GB" w:eastAsia="ro-MD"/>
        </w:rPr>
        <w:t>.</w:t>
      </w:r>
      <w:r w:rsidRPr="003101B1">
        <w:rPr>
          <w:lang w:val="en-GB" w:eastAsia="ro-MD"/>
        </w:rPr>
        <w:t xml:space="preserve"> </w:t>
      </w:r>
      <w:r w:rsidR="00F60570" w:rsidRPr="003101B1">
        <w:rPr>
          <w:lang w:val="en-GB" w:eastAsia="ro-MD"/>
        </w:rPr>
        <w:t xml:space="preserve">To qualify as a cooperative society, where the holders of Common Equity Tier 1 instruments referred to in sub-paragraph 1), who may or may not be members of the company, have the ability to resign under the applicable national law, they may also enjoy the right to put the capital instrument back to the company, but only subject to the restrictions of the applicable national law, the company statutes and this Regulation. This shall not prevent the company from issuing, under applicable national law, Common Equity Tier 1 instruments complying with paragraphs </w:t>
      </w:r>
      <w:r w:rsidRPr="003101B1">
        <w:rPr>
          <w:lang w:val="en-GB" w:eastAsia="ro-MD"/>
        </w:rPr>
        <w:t>23</w:t>
      </w:r>
      <w:r w:rsidRPr="003101B1">
        <w:rPr>
          <w:vertAlign w:val="superscript"/>
          <w:lang w:val="en-GB" w:eastAsia="ro-MD"/>
        </w:rPr>
        <w:t>3</w:t>
      </w:r>
      <w:r w:rsidRPr="003101B1">
        <w:rPr>
          <w:lang w:val="en-GB" w:eastAsia="ro-MD"/>
        </w:rPr>
        <w:t>-23</w:t>
      </w:r>
      <w:r w:rsidRPr="003101B1">
        <w:rPr>
          <w:vertAlign w:val="superscript"/>
          <w:lang w:val="en-GB" w:eastAsia="ro-MD"/>
        </w:rPr>
        <w:t>8</w:t>
      </w:r>
      <w:r w:rsidRPr="003101B1">
        <w:rPr>
          <w:lang w:val="en-GB" w:eastAsia="ro-MD"/>
        </w:rPr>
        <w:t xml:space="preserve"> </w:t>
      </w:r>
      <w:r w:rsidR="00F60570" w:rsidRPr="003101B1">
        <w:rPr>
          <w:lang w:val="en-GB" w:eastAsia="ro-MD"/>
        </w:rPr>
        <w:t>to both members and non-members that do not give the right to put the capital instrument back to the company</w:t>
      </w:r>
      <w:r w:rsidRPr="003101B1">
        <w:rPr>
          <w:lang w:val="en-GB" w:eastAsia="ro-MD"/>
        </w:rPr>
        <w:t>.</w:t>
      </w:r>
    </w:p>
    <w:p w14:paraId="098BDB93" w14:textId="7F97737F" w:rsidR="00977518" w:rsidRPr="003101B1" w:rsidRDefault="00977518" w:rsidP="00977518">
      <w:pPr>
        <w:jc w:val="both"/>
        <w:rPr>
          <w:lang w:val="en-GB" w:eastAsia="ro-MD"/>
        </w:rPr>
      </w:pPr>
      <w:r w:rsidRPr="003101B1">
        <w:rPr>
          <w:b/>
          <w:bCs/>
          <w:lang w:val="en-GB" w:eastAsia="ro-MD"/>
        </w:rPr>
        <w:t>3</w:t>
      </w:r>
      <w:r w:rsidR="00CC1861" w:rsidRPr="003101B1">
        <w:rPr>
          <w:b/>
          <w:bCs/>
          <w:lang w:val="en-GB" w:eastAsia="ro-MD"/>
        </w:rPr>
        <w:t>.</w:t>
      </w:r>
      <w:r w:rsidRPr="003101B1">
        <w:rPr>
          <w:lang w:val="en-GB" w:eastAsia="ro-MD"/>
        </w:rPr>
        <w:t xml:space="preserve"> </w:t>
      </w:r>
      <w:r w:rsidR="00F60570" w:rsidRPr="003101B1">
        <w:rPr>
          <w:lang w:val="en-GB" w:eastAsia="ro-MD"/>
        </w:rPr>
        <w:t xml:space="preserve">To qualify as a savings institution, the sum of capital, reserves and interim or year-end profits may not be distributed, according to the applicable national law, to holders of Common Equity Tier 1 instruments. This condition shall be deemed to be met even where the savings institution issues Common Equity Tier 1 instruments that entitle holders, on a going-concern basis, to a share in the profits and reserves where permitted by applicable national law, provided that such share is proportionate to their contribution to capital and reserves or, where permitted by applicable national law, in accordance with an alternative arrangement. The savings institution may issue Common Equity Tier 1 instruments that entitle the holders, in the event of its insolvency or liquidation, to reserves that do not need to be proportionate to the contribution to capital and reserves, provided that the conditions in paragraphs </w:t>
      </w:r>
      <w:r w:rsidRPr="003101B1">
        <w:rPr>
          <w:lang w:val="en-GB" w:eastAsia="ro-MD"/>
        </w:rPr>
        <w:t>23</w:t>
      </w:r>
      <w:r w:rsidRPr="003101B1">
        <w:rPr>
          <w:vertAlign w:val="superscript"/>
          <w:lang w:val="en-GB" w:eastAsia="ro-MD"/>
        </w:rPr>
        <w:t>6</w:t>
      </w:r>
      <w:r w:rsidRPr="003101B1">
        <w:rPr>
          <w:lang w:val="en-GB" w:eastAsia="ro-MD"/>
        </w:rPr>
        <w:t>-23</w:t>
      </w:r>
      <w:r w:rsidRPr="003101B1">
        <w:rPr>
          <w:vertAlign w:val="superscript"/>
          <w:lang w:val="en-GB" w:eastAsia="ro-MD"/>
        </w:rPr>
        <w:t>8</w:t>
      </w:r>
      <w:r w:rsidR="00F60570" w:rsidRPr="003101B1">
        <w:rPr>
          <w:lang w:val="en-GB" w:eastAsia="ro-MD"/>
        </w:rPr>
        <w:t xml:space="preserve"> are met.</w:t>
      </w:r>
    </w:p>
    <w:p w14:paraId="55733AF7" w14:textId="3AC33ADA" w:rsidR="00977518" w:rsidRPr="003101B1" w:rsidRDefault="00977518" w:rsidP="00977518">
      <w:pPr>
        <w:jc w:val="both"/>
        <w:rPr>
          <w:lang w:val="en-GB" w:eastAsia="ro-MD"/>
        </w:rPr>
      </w:pPr>
      <w:r w:rsidRPr="003101B1">
        <w:rPr>
          <w:b/>
          <w:bCs/>
          <w:lang w:val="en-GB" w:eastAsia="ro-MD"/>
        </w:rPr>
        <w:t>4</w:t>
      </w:r>
      <w:r w:rsidR="00CC1861" w:rsidRPr="003101B1">
        <w:rPr>
          <w:b/>
          <w:bCs/>
          <w:lang w:val="en-GB" w:eastAsia="ro-MD"/>
        </w:rPr>
        <w:t>.</w:t>
      </w:r>
      <w:r w:rsidRPr="003101B1">
        <w:rPr>
          <w:rFonts w:ascii="Calibri" w:eastAsia="Calibri" w:hAnsi="Calibri"/>
          <w:kern w:val="2"/>
          <w:sz w:val="22"/>
          <w:szCs w:val="22"/>
          <w:lang w:val="en-GB"/>
          <w14:ligatures w14:val="standardContextual"/>
        </w:rPr>
        <w:t xml:space="preserve"> </w:t>
      </w:r>
      <w:r w:rsidR="00147107" w:rsidRPr="003101B1">
        <w:rPr>
          <w:lang w:val="en-GB" w:eastAsia="ro-MD"/>
        </w:rPr>
        <w:t>To qualify as a mutual, the total or partial amount of the sum of the capital and reserves must be held by the members of the company, who do not, in the normal course of their business, benefit from the direct distribution of the reserves, in particular through the payment of dividends. Those conditions shall be deemed to be met even where the undertaking issues Common Equity Tier 1 instruments that grant a right to profits and reserves, where permitted by applicable national law</w:t>
      </w:r>
      <w:r w:rsidRPr="003101B1">
        <w:rPr>
          <w:lang w:val="en-GB" w:eastAsia="ro-MD"/>
        </w:rPr>
        <w:t>.</w:t>
      </w:r>
    </w:p>
    <w:p w14:paraId="40AA0825" w14:textId="017C1A21" w:rsidR="00977518" w:rsidRPr="003101B1" w:rsidRDefault="00977518" w:rsidP="00977518">
      <w:pPr>
        <w:jc w:val="both"/>
        <w:rPr>
          <w:lang w:val="en-GB" w:eastAsia="ro-MD"/>
        </w:rPr>
      </w:pPr>
      <w:r w:rsidRPr="003101B1">
        <w:rPr>
          <w:b/>
          <w:bCs/>
          <w:lang w:val="en-GB" w:eastAsia="ro-MD"/>
        </w:rPr>
        <w:t>5</w:t>
      </w:r>
      <w:r w:rsidR="00CC1861" w:rsidRPr="003101B1">
        <w:rPr>
          <w:b/>
          <w:bCs/>
          <w:lang w:val="en-GB" w:eastAsia="ro-MD"/>
        </w:rPr>
        <w:t>.</w:t>
      </w:r>
      <w:r w:rsidRPr="003101B1">
        <w:rPr>
          <w:lang w:val="en-GB" w:eastAsia="ro-MD"/>
        </w:rPr>
        <w:t xml:space="preserve"> </w:t>
      </w:r>
      <w:r w:rsidR="00007AE7" w:rsidRPr="003101B1">
        <w:rPr>
          <w:lang w:val="en-GB" w:eastAsia="ro-MD"/>
        </w:rPr>
        <w:t>In order to qualify as a similar institution to cooperative societies, mutual societies and savings institutions, one or more of the following conditions shall be met</w:t>
      </w:r>
      <w:r w:rsidRPr="003101B1">
        <w:rPr>
          <w:lang w:val="en-GB" w:eastAsia="ro-MD"/>
        </w:rPr>
        <w:t>:</w:t>
      </w:r>
    </w:p>
    <w:p w14:paraId="56075B4A" w14:textId="6D143093" w:rsidR="00977518" w:rsidRPr="003101B1" w:rsidRDefault="00ED711C" w:rsidP="00977518">
      <w:pPr>
        <w:jc w:val="both"/>
        <w:rPr>
          <w:lang w:val="en-GB" w:eastAsia="ro-MD"/>
        </w:rPr>
      </w:pPr>
      <w:r w:rsidRPr="003101B1">
        <w:rPr>
          <w:lang w:val="en-GB" w:eastAsia="ro-MD"/>
        </w:rPr>
        <w:t>1</w:t>
      </w:r>
      <w:r w:rsidR="00977518" w:rsidRPr="003101B1">
        <w:rPr>
          <w:lang w:val="en-GB" w:eastAsia="ro-MD"/>
        </w:rPr>
        <w:t xml:space="preserve">) </w:t>
      </w:r>
      <w:r w:rsidR="00007AE7" w:rsidRPr="003101B1">
        <w:rPr>
          <w:lang w:val="en-GB" w:eastAsia="ro-MD"/>
        </w:rPr>
        <w:t xml:space="preserve">where the holders of Common Equity Tier 1 instruments referred to in </w:t>
      </w:r>
      <w:r w:rsidR="00347055" w:rsidRPr="003101B1">
        <w:rPr>
          <w:lang w:val="en-GB" w:eastAsia="ro-MD"/>
        </w:rPr>
        <w:t xml:space="preserve">paragraph </w:t>
      </w:r>
      <w:r w:rsidR="00007AE7" w:rsidRPr="003101B1">
        <w:rPr>
          <w:lang w:val="en-GB" w:eastAsia="ro-MD"/>
        </w:rPr>
        <w:t xml:space="preserve">1, who may or may not be members of the company, have the ability to resign under the applicable national law, they may also have the right to put the capital instrument back to the company, but only subject to the restrictions of the applicable national law, the company statutes and this Regulation. This shall not prevent the undertaking from issuing, under applicable national law, Common Equity Tier 1 instruments complying with paragraphs </w:t>
      </w:r>
      <w:r w:rsidR="00977518" w:rsidRPr="003101B1">
        <w:rPr>
          <w:lang w:val="en-GB" w:eastAsia="ro-MD"/>
        </w:rPr>
        <w:t>23</w:t>
      </w:r>
      <w:r w:rsidR="00977518" w:rsidRPr="003101B1">
        <w:rPr>
          <w:vertAlign w:val="superscript"/>
          <w:lang w:val="en-GB" w:eastAsia="ro-MD"/>
        </w:rPr>
        <w:t>3</w:t>
      </w:r>
      <w:r w:rsidR="00977518" w:rsidRPr="003101B1">
        <w:rPr>
          <w:lang w:val="en-GB" w:eastAsia="ro-MD"/>
        </w:rPr>
        <w:t>-23</w:t>
      </w:r>
      <w:r w:rsidR="00977518" w:rsidRPr="003101B1">
        <w:rPr>
          <w:vertAlign w:val="superscript"/>
          <w:lang w:val="en-GB" w:eastAsia="ro-MD"/>
        </w:rPr>
        <w:t xml:space="preserve">8 </w:t>
      </w:r>
      <w:r w:rsidR="00007AE7" w:rsidRPr="003101B1">
        <w:rPr>
          <w:lang w:val="en-GB" w:eastAsia="ro-MD"/>
        </w:rPr>
        <w:t>for both members and non-members, which do not give the right to put the capital instrument back to the company</w:t>
      </w:r>
      <w:r w:rsidR="00977518" w:rsidRPr="003101B1">
        <w:rPr>
          <w:lang w:val="en-GB" w:eastAsia="ro-MD"/>
        </w:rPr>
        <w:t>;</w:t>
      </w:r>
    </w:p>
    <w:p w14:paraId="73461CA4" w14:textId="4188C7A1" w:rsidR="00977518" w:rsidRPr="003101B1" w:rsidRDefault="00ED711C" w:rsidP="00977518">
      <w:pPr>
        <w:jc w:val="both"/>
        <w:rPr>
          <w:lang w:val="en-GB" w:eastAsia="ro-MD"/>
        </w:rPr>
      </w:pPr>
      <w:r w:rsidRPr="003101B1">
        <w:rPr>
          <w:lang w:val="en-GB" w:eastAsia="ro-MD"/>
        </w:rPr>
        <w:t>2</w:t>
      </w:r>
      <w:r w:rsidR="00977518" w:rsidRPr="003101B1">
        <w:rPr>
          <w:lang w:val="en-GB" w:eastAsia="ro-MD"/>
        </w:rPr>
        <w:t xml:space="preserve">) </w:t>
      </w:r>
      <w:r w:rsidR="00007AE7" w:rsidRPr="003101B1">
        <w:rPr>
          <w:lang w:val="en-GB" w:eastAsia="ro-MD"/>
        </w:rPr>
        <w:t>the sum of capital, reserves and interim or year-end profits, is not allowed, according to national applicable law, to be distributed to holders of Common Equity Tier 1 instruments. This condition shall be deemed to be met even where the company issues Common Equity Tier 1 instruments that entitle holders, on a going-concern basis, to a share in the profits and reserves where permitted by applicable national law, provided that such share is proportionate to their contribution to the capital and reserves or, where permitted by applicable national law, in accordance with an alternative arrangement</w:t>
      </w:r>
      <w:r w:rsidR="00977518" w:rsidRPr="003101B1">
        <w:rPr>
          <w:lang w:val="en-GB" w:eastAsia="ro-MD"/>
        </w:rPr>
        <w:t xml:space="preserve">. </w:t>
      </w:r>
      <w:r w:rsidR="00007AE7" w:rsidRPr="003101B1">
        <w:rPr>
          <w:lang w:val="en-GB" w:eastAsia="ro-MD"/>
        </w:rPr>
        <w:t xml:space="preserve">The company may issue Common Equity Tier 1 instruments that entitle the holders, in the event of the company’s insolvency or liquidation, to reserves that do not need to be proportionate to the contribution to capital and reserves, provided that the conditions in paragraphs </w:t>
      </w:r>
      <w:r w:rsidR="00977518" w:rsidRPr="003101B1">
        <w:rPr>
          <w:lang w:val="en-GB" w:eastAsia="ro-MD"/>
        </w:rPr>
        <w:t>23</w:t>
      </w:r>
      <w:r w:rsidR="00977518" w:rsidRPr="003101B1">
        <w:rPr>
          <w:vertAlign w:val="superscript"/>
          <w:lang w:val="en-GB" w:eastAsia="ro-MD"/>
        </w:rPr>
        <w:t>6</w:t>
      </w:r>
      <w:r w:rsidR="00977518" w:rsidRPr="003101B1">
        <w:rPr>
          <w:lang w:val="en-GB" w:eastAsia="ro-MD"/>
        </w:rPr>
        <w:t>-23</w:t>
      </w:r>
      <w:r w:rsidR="00977518" w:rsidRPr="003101B1">
        <w:rPr>
          <w:vertAlign w:val="superscript"/>
          <w:lang w:val="en-GB" w:eastAsia="ro-MD"/>
        </w:rPr>
        <w:t>8</w:t>
      </w:r>
      <w:r w:rsidR="00007AE7" w:rsidRPr="003101B1">
        <w:rPr>
          <w:lang w:val="en-GB" w:eastAsia="ro-MD"/>
        </w:rPr>
        <w:t xml:space="preserve"> are met;</w:t>
      </w:r>
    </w:p>
    <w:p w14:paraId="710A9DEC" w14:textId="4A7AA4E0" w:rsidR="00977518" w:rsidRPr="003101B1" w:rsidRDefault="00E2075C" w:rsidP="00977518">
      <w:pPr>
        <w:jc w:val="both"/>
        <w:rPr>
          <w:lang w:val="en-GB" w:eastAsia="ro-MD"/>
        </w:rPr>
      </w:pPr>
      <w:r w:rsidRPr="003101B1">
        <w:rPr>
          <w:lang w:val="en-GB" w:eastAsia="ro-MD"/>
        </w:rPr>
        <w:t>3</w:t>
      </w:r>
      <w:r w:rsidR="00977518" w:rsidRPr="003101B1">
        <w:rPr>
          <w:lang w:val="en-GB" w:eastAsia="ro-MD"/>
        </w:rPr>
        <w:t xml:space="preserve">) </w:t>
      </w:r>
      <w:r w:rsidR="00007AE7" w:rsidRPr="003101B1">
        <w:rPr>
          <w:lang w:val="en-GB" w:eastAsia="ro-MD"/>
        </w:rPr>
        <w:t>the total or partial amount of the sum of the capital and reserves is held by the members of the company, who do not benefit, in the normal course of business, from the direct distribution of the reserves, in particular through the payment of dividends</w:t>
      </w:r>
      <w:r w:rsidR="00977518" w:rsidRPr="003101B1">
        <w:rPr>
          <w:lang w:val="en-GB" w:eastAsia="ro-MD"/>
        </w:rPr>
        <w:t>.”.</w:t>
      </w:r>
    </w:p>
    <w:p w14:paraId="4C7920E1" w14:textId="4BB64C88" w:rsidR="008073AA" w:rsidRPr="003101B1" w:rsidRDefault="00007AE7" w:rsidP="008073AA">
      <w:pPr>
        <w:pStyle w:val="ListParagraph"/>
        <w:numPr>
          <w:ilvl w:val="1"/>
          <w:numId w:val="27"/>
        </w:numPr>
        <w:spacing w:before="80"/>
        <w:ind w:left="0" w:firstLine="567"/>
        <w:contextualSpacing w:val="0"/>
        <w:jc w:val="both"/>
        <w:rPr>
          <w:lang w:val="en-GB" w:eastAsia="ro-MD"/>
        </w:rPr>
      </w:pPr>
      <w:r w:rsidRPr="003101B1">
        <w:rPr>
          <w:lang w:val="en-GB" w:eastAsia="ro-MD"/>
        </w:rPr>
        <w:t>Annex</w:t>
      </w:r>
      <w:r w:rsidR="008073AA" w:rsidRPr="003101B1">
        <w:rPr>
          <w:lang w:val="en-GB" w:eastAsia="ro-MD"/>
        </w:rPr>
        <w:t xml:space="preserve"> 4</w:t>
      </w:r>
      <w:r w:rsidR="008073AA" w:rsidRPr="003101B1">
        <w:rPr>
          <w:vertAlign w:val="superscript"/>
          <w:lang w:val="en-GB" w:eastAsia="ro-MD"/>
        </w:rPr>
        <w:t>1</w:t>
      </w:r>
      <w:r w:rsidR="008073AA" w:rsidRPr="003101B1">
        <w:rPr>
          <w:lang w:val="en-GB" w:eastAsia="ro-MD"/>
        </w:rPr>
        <w:t xml:space="preserve"> </w:t>
      </w:r>
      <w:r w:rsidRPr="003101B1">
        <w:rPr>
          <w:lang w:val="en-GB" w:eastAsia="ro-MD"/>
        </w:rPr>
        <w:t>shall be added with the following content</w:t>
      </w:r>
      <w:r w:rsidR="008073AA" w:rsidRPr="003101B1">
        <w:rPr>
          <w:lang w:val="en-GB" w:eastAsia="ro-MD"/>
        </w:rPr>
        <w:t>:</w:t>
      </w:r>
    </w:p>
    <w:p w14:paraId="1D7277B4" w14:textId="00E1CED0" w:rsidR="00654B48" w:rsidRPr="003101B1" w:rsidRDefault="00007AE7" w:rsidP="00654B48">
      <w:pPr>
        <w:jc w:val="right"/>
        <w:rPr>
          <w:lang w:val="en-GB" w:eastAsia="ro-MD"/>
        </w:rPr>
      </w:pPr>
      <w:r w:rsidRPr="003101B1">
        <w:rPr>
          <w:lang w:val="en-GB" w:eastAsia="ro-MD"/>
        </w:rPr>
        <w:t>“</w:t>
      </w:r>
      <w:r w:rsidR="00654B48" w:rsidRPr="003101B1">
        <w:rPr>
          <w:lang w:val="en-GB" w:eastAsia="ro-MD"/>
        </w:rPr>
        <w:t>An</w:t>
      </w:r>
      <w:r w:rsidRPr="003101B1">
        <w:rPr>
          <w:lang w:val="en-GB" w:eastAsia="ro-MD"/>
        </w:rPr>
        <w:t>n</w:t>
      </w:r>
      <w:r w:rsidR="00654B48" w:rsidRPr="003101B1">
        <w:rPr>
          <w:lang w:val="en-GB" w:eastAsia="ro-MD"/>
        </w:rPr>
        <w:t>ex 4</w:t>
      </w:r>
      <w:r w:rsidR="00654B48" w:rsidRPr="003101B1">
        <w:rPr>
          <w:vertAlign w:val="superscript"/>
          <w:lang w:val="en-GB" w:eastAsia="ro-MD"/>
        </w:rPr>
        <w:t>1</w:t>
      </w:r>
    </w:p>
    <w:p w14:paraId="3B449867" w14:textId="77777777" w:rsidR="00007AE7" w:rsidRPr="003101B1" w:rsidRDefault="00007AE7" w:rsidP="00007AE7">
      <w:pPr>
        <w:jc w:val="right"/>
        <w:rPr>
          <w:lang w:val="en-GB"/>
        </w:rPr>
      </w:pPr>
      <w:bookmarkStart w:id="28" w:name="_Hlk228452532"/>
      <w:r w:rsidRPr="003101B1">
        <w:rPr>
          <w:lang w:val="en-GB"/>
        </w:rPr>
        <w:t>to the Regulation on own funds and capital requirements</w:t>
      </w:r>
    </w:p>
    <w:bookmarkEnd w:id="28"/>
    <w:p w14:paraId="4491099B" w14:textId="77777777" w:rsidR="00654B48" w:rsidRPr="003101B1" w:rsidRDefault="00654B48" w:rsidP="00654B48">
      <w:pPr>
        <w:jc w:val="center"/>
        <w:rPr>
          <w:b/>
          <w:bCs/>
          <w:lang w:val="en-GB" w:eastAsia="ro-MD"/>
        </w:rPr>
      </w:pPr>
    </w:p>
    <w:p w14:paraId="0B2A485E" w14:textId="4AD43BA3" w:rsidR="00654B48" w:rsidRPr="003101B1" w:rsidRDefault="007F759F" w:rsidP="00654B48">
      <w:pPr>
        <w:jc w:val="center"/>
        <w:rPr>
          <w:b/>
          <w:bCs/>
          <w:lang w:val="en-GB" w:eastAsia="ro-MD"/>
        </w:rPr>
      </w:pPr>
      <w:r w:rsidRPr="003101B1">
        <w:rPr>
          <w:b/>
          <w:bCs/>
          <w:lang w:val="en-GB" w:eastAsia="ro-MD"/>
        </w:rPr>
        <w:t>Deduction of software assets that are classified as intangible assets for accounting purposes within the meaning of paragraph 30 sub-paragraph 2)</w:t>
      </w:r>
    </w:p>
    <w:p w14:paraId="21A2F234" w14:textId="351E64A2" w:rsidR="00654B48" w:rsidRPr="003101B1" w:rsidRDefault="00654B48" w:rsidP="00654B48">
      <w:pPr>
        <w:ind w:firstLine="567"/>
        <w:jc w:val="both"/>
        <w:rPr>
          <w:lang w:val="en-GB" w:eastAsia="ro-MD"/>
        </w:rPr>
      </w:pPr>
      <w:r w:rsidRPr="003101B1">
        <w:rPr>
          <w:b/>
          <w:bCs/>
          <w:lang w:val="en-GB" w:eastAsia="ro-MD"/>
        </w:rPr>
        <w:t>1.</w:t>
      </w:r>
      <w:r w:rsidRPr="003101B1">
        <w:rPr>
          <w:lang w:val="en-GB" w:eastAsia="ro-MD"/>
        </w:rPr>
        <w:t xml:space="preserve"> </w:t>
      </w:r>
      <w:r w:rsidR="007F759F" w:rsidRPr="003101B1">
        <w:rPr>
          <w:lang w:val="en-GB" w:eastAsia="ro-MD"/>
        </w:rPr>
        <w:t>Software assets that are intangible assets shall be deducted from Common Equity Tier 1 items in accordance with paragraphs 5 to 9. The amount to be deducted shall be determined on the basis of the prudential accumulated amortisation calculated in accordance with paragraphs 2 to 4</w:t>
      </w:r>
      <w:r w:rsidRPr="003101B1">
        <w:rPr>
          <w:lang w:val="en-GB" w:eastAsia="ro-MD"/>
        </w:rPr>
        <w:t>.</w:t>
      </w:r>
    </w:p>
    <w:p w14:paraId="03327C00" w14:textId="2CAD9A02" w:rsidR="00654B48" w:rsidRPr="003101B1" w:rsidRDefault="00654B48" w:rsidP="00654B48">
      <w:pPr>
        <w:ind w:firstLine="567"/>
        <w:jc w:val="both"/>
        <w:rPr>
          <w:lang w:val="en-GB" w:eastAsia="ro-MD"/>
        </w:rPr>
      </w:pPr>
      <w:r w:rsidRPr="003101B1">
        <w:rPr>
          <w:b/>
          <w:bCs/>
          <w:lang w:val="en-GB" w:eastAsia="ro-MD"/>
        </w:rPr>
        <w:t>2.</w:t>
      </w:r>
      <w:r w:rsidRPr="003101B1">
        <w:rPr>
          <w:lang w:val="en-GB" w:eastAsia="ro-MD"/>
        </w:rPr>
        <w:t xml:space="preserve"> </w:t>
      </w:r>
      <w:r w:rsidR="007F759F" w:rsidRPr="003101B1">
        <w:rPr>
          <w:lang w:val="en-GB" w:eastAsia="ro-MD"/>
        </w:rPr>
        <w:t>Banks shall calculate the amount of prudential accumulated software amortisation by multiplying the amount obtained from the calculation referred to in sub-paragraph 1) by the number of days referred to in sub-paragraph 2</w:t>
      </w:r>
      <w:r w:rsidRPr="003101B1">
        <w:rPr>
          <w:lang w:val="en-GB" w:eastAsia="ro-MD"/>
        </w:rPr>
        <w:t>):</w:t>
      </w:r>
    </w:p>
    <w:p w14:paraId="42CBCDF0" w14:textId="27729BA8" w:rsidR="00654B48" w:rsidRPr="003101B1" w:rsidRDefault="00654B48" w:rsidP="00654B48">
      <w:pPr>
        <w:ind w:firstLine="567"/>
        <w:jc w:val="both"/>
        <w:rPr>
          <w:lang w:val="en-GB" w:eastAsia="ro-MD"/>
        </w:rPr>
      </w:pPr>
      <w:r w:rsidRPr="003101B1">
        <w:rPr>
          <w:lang w:val="en-GB" w:eastAsia="ro-MD"/>
        </w:rPr>
        <w:t xml:space="preserve">1) </w:t>
      </w:r>
      <w:r w:rsidR="007F759F" w:rsidRPr="003101B1">
        <w:rPr>
          <w:lang w:val="en-GB" w:eastAsia="ro-MD"/>
        </w:rPr>
        <w:t>the value at which the software was initially recognised on the balance sheet of the bank under the accounting framework, divided by the lower of</w:t>
      </w:r>
      <w:r w:rsidRPr="003101B1">
        <w:rPr>
          <w:lang w:val="en-GB" w:eastAsia="ro-MD"/>
        </w:rPr>
        <w:t>:</w:t>
      </w:r>
    </w:p>
    <w:p w14:paraId="1FA84409" w14:textId="6871118C" w:rsidR="00654B48" w:rsidRPr="003101B1" w:rsidRDefault="00654B48" w:rsidP="00654B48">
      <w:pPr>
        <w:ind w:firstLine="567"/>
        <w:jc w:val="both"/>
        <w:rPr>
          <w:lang w:val="en-GB" w:eastAsia="ro-MD"/>
        </w:rPr>
      </w:pPr>
      <w:r w:rsidRPr="003101B1">
        <w:rPr>
          <w:lang w:val="en-GB" w:eastAsia="ro-MD"/>
        </w:rPr>
        <w:t xml:space="preserve">a) </w:t>
      </w:r>
      <w:r w:rsidR="007F759F" w:rsidRPr="003101B1">
        <w:rPr>
          <w:lang w:val="en-GB" w:eastAsia="ro-MD"/>
        </w:rPr>
        <w:t>number of days of useful life of the software as estimated for accounting purposes</w:t>
      </w:r>
      <w:r w:rsidRPr="003101B1">
        <w:rPr>
          <w:lang w:val="en-GB" w:eastAsia="ro-MD"/>
        </w:rPr>
        <w:t>;</w:t>
      </w:r>
    </w:p>
    <w:p w14:paraId="1546E191" w14:textId="4E1DE311" w:rsidR="00654B48" w:rsidRPr="003101B1" w:rsidRDefault="00654B48" w:rsidP="00654B48">
      <w:pPr>
        <w:ind w:firstLine="567"/>
        <w:jc w:val="both"/>
        <w:rPr>
          <w:lang w:val="en-GB" w:eastAsia="ro-MD"/>
        </w:rPr>
      </w:pPr>
      <w:r w:rsidRPr="003101B1">
        <w:rPr>
          <w:lang w:val="en-GB" w:eastAsia="ro-MD"/>
        </w:rPr>
        <w:t xml:space="preserve">b) </w:t>
      </w:r>
      <w:r w:rsidR="007F759F" w:rsidRPr="003101B1">
        <w:rPr>
          <w:lang w:val="en-GB" w:eastAsia="ro-MD"/>
        </w:rPr>
        <w:t>three years, expressed in days, starting from the date referred to in paragraph 3</w:t>
      </w:r>
      <w:r w:rsidRPr="003101B1">
        <w:rPr>
          <w:lang w:val="en-GB" w:eastAsia="ro-MD"/>
        </w:rPr>
        <w:t>;</w:t>
      </w:r>
    </w:p>
    <w:p w14:paraId="5B48386A" w14:textId="013220AF" w:rsidR="00654B48" w:rsidRPr="003101B1" w:rsidRDefault="00654B48" w:rsidP="00654B48">
      <w:pPr>
        <w:ind w:firstLine="567"/>
        <w:jc w:val="both"/>
        <w:rPr>
          <w:lang w:val="en-GB" w:eastAsia="ro-MD"/>
        </w:rPr>
      </w:pPr>
      <w:r w:rsidRPr="003101B1">
        <w:rPr>
          <w:lang w:val="en-GB" w:eastAsia="ro-MD"/>
        </w:rPr>
        <w:t xml:space="preserve">2) </w:t>
      </w:r>
      <w:r w:rsidR="007F759F" w:rsidRPr="003101B1">
        <w:rPr>
          <w:lang w:val="en-GB" w:eastAsia="ro-MD"/>
        </w:rPr>
        <w:t xml:space="preserve">days since the date referred to in </w:t>
      </w:r>
      <w:r w:rsidR="00347055" w:rsidRPr="003101B1">
        <w:rPr>
          <w:lang w:val="en-GB" w:eastAsia="ro-MD"/>
        </w:rPr>
        <w:t xml:space="preserve">paragraph </w:t>
      </w:r>
      <w:r w:rsidR="007F759F" w:rsidRPr="003101B1">
        <w:rPr>
          <w:lang w:val="en-GB" w:eastAsia="ro-MD"/>
        </w:rPr>
        <w:t>3, provided that it does not exceed the period referred to in letter a) of sub-paragraph 1</w:t>
      </w:r>
      <w:r w:rsidRPr="003101B1">
        <w:rPr>
          <w:lang w:val="en-GB" w:eastAsia="ro-MD"/>
        </w:rPr>
        <w:t>).</w:t>
      </w:r>
    </w:p>
    <w:p w14:paraId="7CA911F2" w14:textId="5C14DE68" w:rsidR="00654B48" w:rsidRPr="003101B1" w:rsidRDefault="00654B48" w:rsidP="00654B48">
      <w:pPr>
        <w:ind w:firstLine="567"/>
        <w:jc w:val="both"/>
        <w:rPr>
          <w:lang w:val="en-GB" w:eastAsia="ro-MD"/>
        </w:rPr>
      </w:pPr>
      <w:r w:rsidRPr="003101B1">
        <w:rPr>
          <w:b/>
          <w:bCs/>
          <w:lang w:val="en-GB" w:eastAsia="ro-MD"/>
        </w:rPr>
        <w:t>3.</w:t>
      </w:r>
      <w:r w:rsidRPr="003101B1">
        <w:rPr>
          <w:lang w:val="en-GB" w:eastAsia="ro-MD"/>
        </w:rPr>
        <w:t xml:space="preserve"> </w:t>
      </w:r>
      <w:r w:rsidR="007F759F" w:rsidRPr="003101B1">
        <w:rPr>
          <w:lang w:val="en-GB" w:eastAsia="ro-MD"/>
        </w:rPr>
        <w:t>The prudential accumulated amortisation referred to in paragraph 1 shall be calculated from the date on which the software is available for use and starts to be amortised for accounting purposes</w:t>
      </w:r>
      <w:r w:rsidRPr="003101B1">
        <w:rPr>
          <w:lang w:val="en-GB" w:eastAsia="ro-MD"/>
        </w:rPr>
        <w:t>.</w:t>
      </w:r>
    </w:p>
    <w:p w14:paraId="7D227024" w14:textId="22A650DC" w:rsidR="00654B48" w:rsidRPr="003101B1" w:rsidRDefault="00654B48" w:rsidP="00654B48">
      <w:pPr>
        <w:ind w:firstLine="567"/>
        <w:jc w:val="both"/>
        <w:rPr>
          <w:lang w:val="en-GB" w:eastAsia="ro-MD"/>
        </w:rPr>
      </w:pPr>
      <w:r w:rsidRPr="003101B1">
        <w:rPr>
          <w:b/>
          <w:bCs/>
          <w:lang w:val="en-GB" w:eastAsia="ro-MD"/>
        </w:rPr>
        <w:t>4.</w:t>
      </w:r>
      <w:r w:rsidRPr="003101B1">
        <w:rPr>
          <w:lang w:val="en-GB" w:eastAsia="ro-MD"/>
        </w:rPr>
        <w:t xml:space="preserve"> </w:t>
      </w:r>
      <w:r w:rsidR="007F759F" w:rsidRPr="003101B1">
        <w:rPr>
          <w:lang w:val="en-GB" w:eastAsia="ro-MD"/>
        </w:rPr>
        <w:t>By way of derogation from paragraph 3, where software has been acquired from any undertaking, including a non-financial sector entity, that is part of the same group as the bank, the prudential accumulated amortisation referred to in paragraph 1 shall be calculated from the date on which that software started to be amortised on that undertaking’s balance sheet under the applicable accounting framework</w:t>
      </w:r>
      <w:r w:rsidRPr="003101B1">
        <w:rPr>
          <w:lang w:val="en-GB" w:eastAsia="ro-MD"/>
        </w:rPr>
        <w:t>.</w:t>
      </w:r>
    </w:p>
    <w:p w14:paraId="2D34FF67" w14:textId="665B45F4" w:rsidR="00654B48" w:rsidRPr="003101B1" w:rsidRDefault="00654B48" w:rsidP="00654B48">
      <w:pPr>
        <w:ind w:firstLine="567"/>
        <w:jc w:val="both"/>
        <w:rPr>
          <w:lang w:val="en-GB" w:eastAsia="ro-MD"/>
        </w:rPr>
      </w:pPr>
      <w:r w:rsidRPr="003101B1">
        <w:rPr>
          <w:b/>
          <w:bCs/>
          <w:lang w:val="en-GB" w:eastAsia="ro-MD"/>
        </w:rPr>
        <w:t>5.</w:t>
      </w:r>
      <w:r w:rsidRPr="003101B1">
        <w:rPr>
          <w:lang w:val="en-GB" w:eastAsia="ro-MD"/>
        </w:rPr>
        <w:t xml:space="preserve"> </w:t>
      </w:r>
      <w:r w:rsidR="0010534B" w:rsidRPr="003101B1">
        <w:rPr>
          <w:lang w:val="en-GB" w:eastAsia="ro-MD"/>
        </w:rPr>
        <w:t>Banks shall deduct from Common Equity Tier 1 items the amount resulting from the difference, if positive, between the amount in sub-paragraph 1) and the amount in sub-paragraph 2</w:t>
      </w:r>
      <w:r w:rsidRPr="003101B1">
        <w:rPr>
          <w:lang w:val="en-GB" w:eastAsia="ro-MD"/>
        </w:rPr>
        <w:t>):</w:t>
      </w:r>
    </w:p>
    <w:p w14:paraId="6536E2AA" w14:textId="6C553650" w:rsidR="00654B48" w:rsidRPr="003101B1" w:rsidRDefault="00654B48" w:rsidP="00654B48">
      <w:pPr>
        <w:ind w:firstLine="567"/>
        <w:jc w:val="both"/>
        <w:rPr>
          <w:lang w:val="en-GB" w:eastAsia="ro-MD"/>
        </w:rPr>
      </w:pPr>
      <w:r w:rsidRPr="003101B1">
        <w:rPr>
          <w:lang w:val="en-GB" w:eastAsia="ro-MD"/>
        </w:rPr>
        <w:t xml:space="preserve">1) </w:t>
      </w:r>
      <w:r w:rsidR="0010534B" w:rsidRPr="003101B1">
        <w:rPr>
          <w:lang w:val="en-GB" w:eastAsia="ro-MD"/>
        </w:rPr>
        <w:t>prudential accumulated amortisation of a software asset calculated in accordance with paragraphs 2, 3 and 4</w:t>
      </w:r>
      <w:r w:rsidRPr="003101B1">
        <w:rPr>
          <w:lang w:val="en-GB" w:eastAsia="ro-MD"/>
        </w:rPr>
        <w:t>;</w:t>
      </w:r>
    </w:p>
    <w:p w14:paraId="05A28235" w14:textId="07926638" w:rsidR="00654B48" w:rsidRPr="003101B1" w:rsidRDefault="00654B48" w:rsidP="00654B48">
      <w:pPr>
        <w:ind w:firstLine="567"/>
        <w:jc w:val="both"/>
        <w:rPr>
          <w:lang w:val="en-GB" w:eastAsia="ro-MD"/>
        </w:rPr>
      </w:pPr>
      <w:r w:rsidRPr="003101B1">
        <w:rPr>
          <w:lang w:val="en-GB" w:eastAsia="ro-MD"/>
        </w:rPr>
        <w:t xml:space="preserve">2) </w:t>
      </w:r>
      <w:r w:rsidR="0010534B" w:rsidRPr="003101B1">
        <w:rPr>
          <w:lang w:val="en-GB" w:eastAsia="ro-MD"/>
        </w:rPr>
        <w:t>the sum of the accumulated amortisation and any accumulated impairment losses of that software programme accounted for on that bank’s balance sheet under the accounting framework</w:t>
      </w:r>
      <w:r w:rsidRPr="003101B1">
        <w:rPr>
          <w:lang w:val="en-GB" w:eastAsia="ro-MD"/>
        </w:rPr>
        <w:t>.</w:t>
      </w:r>
    </w:p>
    <w:p w14:paraId="4669D4B0" w14:textId="10FD88EC" w:rsidR="00654B48" w:rsidRPr="003101B1" w:rsidRDefault="00654B48" w:rsidP="00654B48">
      <w:pPr>
        <w:ind w:firstLine="567"/>
        <w:jc w:val="both"/>
        <w:rPr>
          <w:lang w:val="en-GB" w:eastAsia="ro-MD"/>
        </w:rPr>
      </w:pPr>
      <w:r w:rsidRPr="003101B1">
        <w:rPr>
          <w:b/>
          <w:bCs/>
          <w:lang w:val="en-GB" w:eastAsia="ro-MD"/>
        </w:rPr>
        <w:t>6.</w:t>
      </w:r>
      <w:r w:rsidRPr="003101B1">
        <w:rPr>
          <w:lang w:val="en-GB" w:eastAsia="ro-MD"/>
        </w:rPr>
        <w:t xml:space="preserve"> </w:t>
      </w:r>
      <w:r w:rsidR="0010534B" w:rsidRPr="003101B1">
        <w:rPr>
          <w:lang w:val="en-GB" w:eastAsia="ro-MD"/>
        </w:rPr>
        <w:t>By way of derogation from paragraph 5, until the date on which the software is available for use and starts to be amortised for accounting purposes, banks shall deduct from Common Equity Tier 1 items the total amount at which the software is accounted for on the balance sheet of the bank under the accounting framework</w:t>
      </w:r>
      <w:r w:rsidRPr="003101B1">
        <w:rPr>
          <w:lang w:val="en-GB" w:eastAsia="ro-MD"/>
        </w:rPr>
        <w:t>.</w:t>
      </w:r>
    </w:p>
    <w:p w14:paraId="65114EEF" w14:textId="3717313D" w:rsidR="00654B48" w:rsidRPr="003101B1" w:rsidRDefault="00654B48" w:rsidP="00654B48">
      <w:pPr>
        <w:ind w:firstLine="567"/>
        <w:jc w:val="both"/>
        <w:rPr>
          <w:lang w:val="en-GB" w:eastAsia="ro-MD"/>
        </w:rPr>
      </w:pPr>
      <w:r w:rsidRPr="003101B1">
        <w:rPr>
          <w:b/>
          <w:bCs/>
          <w:lang w:val="en-GB" w:eastAsia="ro-MD"/>
        </w:rPr>
        <w:t>7.</w:t>
      </w:r>
      <w:r w:rsidRPr="003101B1">
        <w:rPr>
          <w:lang w:val="en-GB" w:eastAsia="ro-MD"/>
        </w:rPr>
        <w:t xml:space="preserve"> </w:t>
      </w:r>
      <w:r w:rsidR="0010534B" w:rsidRPr="003101B1">
        <w:rPr>
          <w:lang w:val="en-GB" w:eastAsia="ro-MD"/>
        </w:rPr>
        <w:t>The prudential amortisations and deductions provided for in this Annex shall be made separately for each software application</w:t>
      </w:r>
      <w:r w:rsidRPr="003101B1">
        <w:rPr>
          <w:lang w:val="en-GB" w:eastAsia="ro-MD"/>
        </w:rPr>
        <w:t>.</w:t>
      </w:r>
    </w:p>
    <w:p w14:paraId="640E0F59" w14:textId="1A100379" w:rsidR="00654B48" w:rsidRPr="003101B1" w:rsidRDefault="00654B48" w:rsidP="00654B48">
      <w:pPr>
        <w:ind w:firstLine="567"/>
        <w:jc w:val="both"/>
        <w:rPr>
          <w:lang w:val="en-GB" w:eastAsia="ro-MD"/>
        </w:rPr>
      </w:pPr>
      <w:r w:rsidRPr="003101B1">
        <w:rPr>
          <w:b/>
          <w:bCs/>
          <w:lang w:val="en-GB" w:eastAsia="ro-MD"/>
        </w:rPr>
        <w:t>8.</w:t>
      </w:r>
      <w:r w:rsidRPr="003101B1">
        <w:rPr>
          <w:lang w:val="en-GB" w:eastAsia="ro-MD"/>
        </w:rPr>
        <w:t xml:space="preserve"> </w:t>
      </w:r>
      <w:r w:rsidR="0010534B" w:rsidRPr="003101B1">
        <w:rPr>
          <w:lang w:val="en-GB" w:eastAsia="ro-MD"/>
        </w:rPr>
        <w:t>Banks’ investments in the maintenance, improvement or upgrade of existing software assets are treated as assets other than related software assets, provided that such investments are recognised as intangible assets on that bank’s balance sheet under the accounting framework</w:t>
      </w:r>
      <w:r w:rsidRPr="003101B1">
        <w:rPr>
          <w:lang w:val="en-GB" w:eastAsia="ro-MD"/>
        </w:rPr>
        <w:t>.</w:t>
      </w:r>
    </w:p>
    <w:p w14:paraId="0A6FB216" w14:textId="38D5FF53" w:rsidR="00654B48" w:rsidRPr="003101B1" w:rsidRDefault="00654B48" w:rsidP="00654B48">
      <w:pPr>
        <w:ind w:firstLine="567"/>
        <w:jc w:val="both"/>
        <w:rPr>
          <w:lang w:val="en-GB" w:eastAsia="ro-MD"/>
        </w:rPr>
      </w:pPr>
      <w:r w:rsidRPr="003101B1">
        <w:rPr>
          <w:b/>
          <w:bCs/>
          <w:lang w:val="en-GB" w:eastAsia="ro-MD"/>
        </w:rPr>
        <w:t xml:space="preserve">9. </w:t>
      </w:r>
      <w:r w:rsidR="0010534B" w:rsidRPr="003101B1">
        <w:rPr>
          <w:lang w:val="en-GB" w:eastAsia="ro-MD"/>
        </w:rPr>
        <w:t>Without prejudice to paragraph 6, the prudential accumulated amortisation of these investments in maintenance, enhancement or upgrade of existing software assets shall be calculated from the date on which they start to be amortised under the applicable accounting framework</w:t>
      </w:r>
      <w:r w:rsidRPr="003101B1">
        <w:rPr>
          <w:lang w:val="en-GB" w:eastAsia="ro-MD"/>
        </w:rPr>
        <w:t>.</w:t>
      </w:r>
    </w:p>
    <w:p w14:paraId="3E26093A" w14:textId="6B439968" w:rsidR="008073AA" w:rsidRPr="003101B1" w:rsidRDefault="00654B48" w:rsidP="00AC31AF">
      <w:pPr>
        <w:spacing w:before="80"/>
        <w:ind w:firstLine="567"/>
        <w:jc w:val="both"/>
        <w:rPr>
          <w:lang w:val="en-GB" w:eastAsia="ro-MD"/>
        </w:rPr>
      </w:pPr>
      <w:r w:rsidRPr="003101B1">
        <w:rPr>
          <w:b/>
          <w:bCs/>
          <w:lang w:val="en-GB" w:eastAsia="ro-MD"/>
        </w:rPr>
        <w:t xml:space="preserve">10. </w:t>
      </w:r>
      <w:r w:rsidR="0010534B" w:rsidRPr="003101B1">
        <w:rPr>
          <w:lang w:val="en-GB" w:eastAsia="ro-MD"/>
        </w:rPr>
        <w:t>The prudential accumulated amortisation of related existing software assets shall continue to be calculated from the date of their own initial amortisation for accounting purposes until the end of the period of prudential amortisation determined in accordance with paragraph 2 sub-paragraph 1</w:t>
      </w:r>
      <w:r w:rsidRPr="003101B1">
        <w:rPr>
          <w:lang w:val="en-GB" w:eastAsia="ro-MD"/>
        </w:rPr>
        <w:t>).</w:t>
      </w:r>
      <w:r w:rsidR="00C251D6" w:rsidRPr="003101B1">
        <w:rPr>
          <w:lang w:val="en-GB" w:eastAsia="ro-MD"/>
        </w:rPr>
        <w:t>”.</w:t>
      </w:r>
    </w:p>
    <w:p w14:paraId="6D095F32" w14:textId="724AAB3B" w:rsidR="00FA337D" w:rsidRPr="003101B1" w:rsidRDefault="0010534B" w:rsidP="00C936FF">
      <w:pPr>
        <w:pStyle w:val="ListParagraph"/>
        <w:numPr>
          <w:ilvl w:val="1"/>
          <w:numId w:val="27"/>
        </w:numPr>
        <w:spacing w:before="80"/>
        <w:ind w:left="0" w:firstLine="567"/>
        <w:contextualSpacing w:val="0"/>
        <w:jc w:val="both"/>
        <w:rPr>
          <w:lang w:val="en-GB" w:eastAsia="ro-MD"/>
        </w:rPr>
      </w:pPr>
      <w:r w:rsidRPr="003101B1">
        <w:rPr>
          <w:lang w:val="en-GB" w:eastAsia="ro-MD"/>
        </w:rPr>
        <w:t>In Annex</w:t>
      </w:r>
      <w:r w:rsidR="00A64774" w:rsidRPr="003101B1">
        <w:rPr>
          <w:lang w:val="en-GB" w:eastAsia="ro-MD"/>
        </w:rPr>
        <w:t xml:space="preserve"> </w:t>
      </w:r>
      <w:r w:rsidR="00FA337D" w:rsidRPr="003101B1">
        <w:rPr>
          <w:lang w:val="en-GB" w:eastAsia="ro-MD"/>
        </w:rPr>
        <w:t>5:</w:t>
      </w:r>
    </w:p>
    <w:p w14:paraId="1C1649CA" w14:textId="103EE979" w:rsidR="00FA337D" w:rsidRPr="003101B1" w:rsidRDefault="0010534B" w:rsidP="00C936FF">
      <w:pPr>
        <w:pStyle w:val="ListParagraph"/>
        <w:numPr>
          <w:ilvl w:val="2"/>
          <w:numId w:val="27"/>
        </w:numPr>
        <w:ind w:left="0" w:firstLine="567"/>
        <w:jc w:val="both"/>
        <w:rPr>
          <w:lang w:val="en-GB" w:eastAsia="ro-MD"/>
        </w:rPr>
      </w:pPr>
      <w:r w:rsidRPr="003101B1">
        <w:rPr>
          <w:lang w:val="en-GB" w:eastAsia="ro-MD"/>
        </w:rPr>
        <w:t>after the title of Annex 5</w:t>
      </w:r>
      <w:r w:rsidR="00A64774" w:rsidRPr="003101B1">
        <w:rPr>
          <w:lang w:val="en-GB" w:eastAsia="ro-MD"/>
        </w:rPr>
        <w:t>,</w:t>
      </w:r>
      <w:r w:rsidR="002F266B" w:rsidRPr="003101B1">
        <w:rPr>
          <w:lang w:val="en-GB" w:eastAsia="ro-MD"/>
        </w:rPr>
        <w:t xml:space="preserve"> </w:t>
      </w:r>
      <w:r w:rsidRPr="003101B1">
        <w:rPr>
          <w:lang w:val="en-GB" w:eastAsia="ro-MD"/>
        </w:rPr>
        <w:t>the text shall be supplemented with</w:t>
      </w:r>
      <w:r w:rsidR="00974438" w:rsidRPr="003101B1">
        <w:rPr>
          <w:lang w:val="en-GB" w:eastAsia="ro-MD"/>
        </w:rPr>
        <w:t xml:space="preserve"> </w:t>
      </w:r>
      <w:r w:rsidRPr="003101B1">
        <w:rPr>
          <w:lang w:val="en-GB" w:eastAsia="ro-MD"/>
        </w:rPr>
        <w:t>“</w:t>
      </w:r>
      <w:r w:rsidR="00FA337D" w:rsidRPr="003101B1">
        <w:rPr>
          <w:b/>
          <w:bCs/>
          <w:i/>
          <w:iCs/>
          <w:lang w:val="en-GB" w:eastAsia="ro-MD"/>
        </w:rPr>
        <w:t>Sec</w:t>
      </w:r>
      <w:r w:rsidRPr="003101B1">
        <w:rPr>
          <w:b/>
          <w:bCs/>
          <w:i/>
          <w:iCs/>
          <w:lang w:val="en-GB" w:eastAsia="ro-MD"/>
        </w:rPr>
        <w:t>tion</w:t>
      </w:r>
      <w:r w:rsidR="00FA337D" w:rsidRPr="003101B1">
        <w:rPr>
          <w:b/>
          <w:bCs/>
          <w:i/>
          <w:iCs/>
          <w:lang w:val="en-GB" w:eastAsia="ro-MD"/>
        </w:rPr>
        <w:t xml:space="preserve"> 1</w:t>
      </w:r>
      <w:r w:rsidR="00974438" w:rsidRPr="003101B1">
        <w:rPr>
          <w:b/>
          <w:bCs/>
          <w:i/>
          <w:iCs/>
          <w:lang w:val="en-GB"/>
        </w:rPr>
        <w:t xml:space="preserve"> </w:t>
      </w:r>
      <w:r w:rsidR="007C2604" w:rsidRPr="003101B1">
        <w:rPr>
          <w:b/>
          <w:bCs/>
          <w:i/>
          <w:iCs/>
          <w:lang w:val="en-GB" w:eastAsia="ro-MD"/>
        </w:rPr>
        <w:t>Application for prior approval</w:t>
      </w:r>
      <w:r w:rsidR="00FA337D" w:rsidRPr="003101B1">
        <w:rPr>
          <w:lang w:val="en-GB" w:eastAsia="ro-MD"/>
        </w:rPr>
        <w:t>”;</w:t>
      </w:r>
    </w:p>
    <w:p w14:paraId="747DA382" w14:textId="2D761A83" w:rsidR="00977518" w:rsidRPr="003101B1" w:rsidRDefault="007C2604" w:rsidP="00C936FF">
      <w:pPr>
        <w:pStyle w:val="ListParagraph"/>
        <w:numPr>
          <w:ilvl w:val="2"/>
          <w:numId w:val="27"/>
        </w:numPr>
        <w:ind w:left="0" w:firstLine="567"/>
        <w:jc w:val="both"/>
        <w:rPr>
          <w:lang w:val="en-GB" w:eastAsia="ro-MD"/>
        </w:rPr>
      </w:pPr>
      <w:r w:rsidRPr="003101B1">
        <w:rPr>
          <w:lang w:val="en-GB" w:eastAsia="ro-MD"/>
        </w:rPr>
        <w:t>in paragraph</w:t>
      </w:r>
      <w:r w:rsidR="00FA337D" w:rsidRPr="003101B1">
        <w:rPr>
          <w:lang w:val="en-GB" w:eastAsia="ro-MD"/>
        </w:rPr>
        <w:t xml:space="preserve"> 1</w:t>
      </w:r>
      <w:r w:rsidRPr="003101B1">
        <w:rPr>
          <w:lang w:val="en-GB" w:eastAsia="ro-MD"/>
        </w:rPr>
        <w:t>, amendments N/A</w:t>
      </w:r>
      <w:r w:rsidR="00876066" w:rsidRPr="003101B1">
        <w:rPr>
          <w:lang w:val="en-GB" w:eastAsia="ro-MD"/>
        </w:rPr>
        <w:t>;</w:t>
      </w:r>
    </w:p>
    <w:p w14:paraId="4ED3C944" w14:textId="7ABDBA03" w:rsidR="00C12467" w:rsidRPr="003101B1" w:rsidRDefault="007C2604" w:rsidP="00C12467">
      <w:pPr>
        <w:pStyle w:val="ListParagraph"/>
        <w:numPr>
          <w:ilvl w:val="2"/>
          <w:numId w:val="27"/>
        </w:numPr>
        <w:ind w:left="0" w:firstLine="567"/>
        <w:jc w:val="both"/>
        <w:rPr>
          <w:lang w:val="en-GB" w:eastAsia="ro-MD"/>
        </w:rPr>
      </w:pPr>
      <w:r w:rsidRPr="003101B1">
        <w:rPr>
          <w:lang w:val="en-GB" w:eastAsia="ro-MD"/>
        </w:rPr>
        <w:t>paragraph</w:t>
      </w:r>
      <w:r w:rsidR="00876066" w:rsidRPr="003101B1">
        <w:rPr>
          <w:lang w:val="en-GB" w:eastAsia="ro-MD"/>
        </w:rPr>
        <w:t xml:space="preserve"> 2</w:t>
      </w:r>
      <w:r w:rsidR="00C12467" w:rsidRPr="003101B1">
        <w:rPr>
          <w:lang w:val="en-GB" w:eastAsia="ro-MD"/>
        </w:rPr>
        <w:t xml:space="preserve"> </w:t>
      </w:r>
      <w:r w:rsidRPr="003101B1">
        <w:rPr>
          <w:lang w:val="en-GB" w:eastAsia="ro-MD"/>
        </w:rPr>
        <w:t>shall read as follows</w:t>
      </w:r>
      <w:r w:rsidR="00C12467" w:rsidRPr="003101B1">
        <w:rPr>
          <w:lang w:val="en-GB" w:eastAsia="ro-MD"/>
        </w:rPr>
        <w:t>:</w:t>
      </w:r>
    </w:p>
    <w:p w14:paraId="3D412249" w14:textId="574C3855" w:rsidR="0093627E" w:rsidRPr="003101B1" w:rsidRDefault="00F156B2" w:rsidP="00C12467">
      <w:pPr>
        <w:jc w:val="both"/>
        <w:rPr>
          <w:lang w:val="en-GB" w:eastAsia="ro-MD"/>
        </w:rPr>
      </w:pPr>
      <w:r w:rsidRPr="003101B1">
        <w:rPr>
          <w:lang w:val="en-GB" w:eastAsia="ro-MD"/>
        </w:rPr>
        <w:t>“Where the bank has obtained the prior approval of the National Bank of Moldova, including the general prior approval, and has publicly announced its intention to repay, reduce or redeem an own funds instrument, the bank shall deduct the corresponding amounts to be redeemed, reduced or repurchased, or the amounts of the related share premium accounts to be reduced or distributed, as applicable, from the corresponding elements of its own funds before the effective repayment, reduction, or redemption or distribution takes place</w:t>
      </w:r>
      <w:r w:rsidR="00C12467" w:rsidRPr="003101B1">
        <w:rPr>
          <w:lang w:val="en-GB" w:eastAsia="ro-MD"/>
        </w:rPr>
        <w:t>.</w:t>
      </w:r>
      <w:r w:rsidR="00876066" w:rsidRPr="003101B1">
        <w:rPr>
          <w:lang w:val="en-GB" w:eastAsia="ro-MD"/>
        </w:rPr>
        <w:t>”;</w:t>
      </w:r>
    </w:p>
    <w:p w14:paraId="5B7367C3" w14:textId="21C6EA86" w:rsidR="00876066" w:rsidRPr="003101B1" w:rsidRDefault="00F156B2" w:rsidP="00C936FF">
      <w:pPr>
        <w:pStyle w:val="ListParagraph"/>
        <w:numPr>
          <w:ilvl w:val="2"/>
          <w:numId w:val="27"/>
        </w:numPr>
        <w:ind w:left="0" w:firstLine="567"/>
        <w:jc w:val="both"/>
        <w:rPr>
          <w:lang w:val="en-GB" w:eastAsia="ro-MD"/>
        </w:rPr>
      </w:pPr>
      <w:r w:rsidRPr="003101B1">
        <w:rPr>
          <w:lang w:val="en-GB" w:eastAsia="ro-MD"/>
        </w:rPr>
        <w:t>paragraph</w:t>
      </w:r>
      <w:r w:rsidR="00876066" w:rsidRPr="003101B1">
        <w:rPr>
          <w:lang w:val="en-GB" w:eastAsia="ro-MD"/>
        </w:rPr>
        <w:t xml:space="preserve"> 4</w:t>
      </w:r>
      <w:r w:rsidR="00974438" w:rsidRPr="003101B1">
        <w:rPr>
          <w:lang w:val="en-GB" w:eastAsia="ro-MD"/>
        </w:rPr>
        <w:t xml:space="preserve"> </w:t>
      </w:r>
      <w:r w:rsidRPr="003101B1">
        <w:rPr>
          <w:lang w:val="en-GB" w:eastAsia="ro-MD"/>
        </w:rPr>
        <w:t>shall read as follows</w:t>
      </w:r>
      <w:r w:rsidR="00876066" w:rsidRPr="003101B1">
        <w:rPr>
          <w:lang w:val="en-GB" w:eastAsia="ro-MD"/>
        </w:rPr>
        <w:t>:</w:t>
      </w:r>
    </w:p>
    <w:p w14:paraId="72D5DE9E" w14:textId="77777777" w:rsidR="00F156B2" w:rsidRPr="003101B1" w:rsidRDefault="00F156B2" w:rsidP="00F156B2">
      <w:pPr>
        <w:jc w:val="both"/>
        <w:rPr>
          <w:lang w:val="en-GB" w:eastAsia="ro-MD"/>
        </w:rPr>
      </w:pPr>
      <w:r w:rsidRPr="003101B1">
        <w:rPr>
          <w:lang w:val="en-GB" w:eastAsia="ro-MD"/>
        </w:rPr>
        <w:t>“</w:t>
      </w:r>
      <w:r w:rsidR="00EB73E0" w:rsidRPr="003101B1">
        <w:rPr>
          <w:b/>
          <w:bCs/>
          <w:lang w:val="en-GB" w:eastAsia="ro-MD"/>
        </w:rPr>
        <w:t>4.</w:t>
      </w:r>
      <w:r w:rsidR="00EB73E0" w:rsidRPr="003101B1">
        <w:rPr>
          <w:lang w:val="en-GB" w:eastAsia="ro-MD"/>
        </w:rPr>
        <w:t xml:space="preserve"> </w:t>
      </w:r>
      <w:r w:rsidRPr="003101B1">
        <w:rPr>
          <w:lang w:val="en-GB" w:eastAsia="ro-MD"/>
        </w:rPr>
        <w:t>The application referred to in paragraph 3 of this Annex shall be accompanied by the following information:</w:t>
      </w:r>
    </w:p>
    <w:p w14:paraId="7018B849" w14:textId="1A0A2BDD" w:rsidR="00EB73E0" w:rsidRPr="003101B1" w:rsidRDefault="00F156B2" w:rsidP="00F156B2">
      <w:pPr>
        <w:jc w:val="both"/>
        <w:rPr>
          <w:sz w:val="18"/>
          <w:szCs w:val="18"/>
          <w:lang w:val="en-GB" w:eastAsia="ro-MD"/>
        </w:rPr>
      </w:pPr>
      <w:r w:rsidRPr="003101B1">
        <w:rPr>
          <w:lang w:val="en-GB" w:eastAsia="ro-MD"/>
        </w:rPr>
        <w:t xml:space="preserve">1) a duly justified explanation of the reasons for carrying out one of the operations referred to in paragraph </w:t>
      </w:r>
      <w:r w:rsidR="00EB73E0" w:rsidRPr="003101B1">
        <w:rPr>
          <w:lang w:val="en-GB" w:eastAsia="ro-MD"/>
        </w:rPr>
        <w:t>3;</w:t>
      </w:r>
    </w:p>
    <w:p w14:paraId="7F62BBAE" w14:textId="39EFA9AE" w:rsidR="00EB73E0" w:rsidRPr="003101B1" w:rsidRDefault="000F5215" w:rsidP="009E3FAA">
      <w:pPr>
        <w:jc w:val="both"/>
        <w:rPr>
          <w:sz w:val="18"/>
          <w:szCs w:val="18"/>
          <w:lang w:val="en-GB" w:eastAsia="ro-MD"/>
        </w:rPr>
      </w:pPr>
      <w:bookmarkStart w:id="29" w:name="_Hlk207004552"/>
      <w:r w:rsidRPr="003101B1">
        <w:rPr>
          <w:lang w:val="en-GB" w:eastAsia="ro-MD"/>
        </w:rPr>
        <w:t>2</w:t>
      </w:r>
      <w:r w:rsidR="00EB73E0" w:rsidRPr="003101B1">
        <w:rPr>
          <w:lang w:val="en-GB" w:eastAsia="ro-MD"/>
        </w:rPr>
        <w:t>)</w:t>
      </w:r>
      <w:r w:rsidR="00EB73E0" w:rsidRPr="003101B1">
        <w:rPr>
          <w:sz w:val="18"/>
          <w:szCs w:val="18"/>
          <w:lang w:val="en-GB" w:eastAsia="ro-MD"/>
        </w:rPr>
        <w:t xml:space="preserve"> </w:t>
      </w:r>
      <w:r w:rsidR="00F156B2" w:rsidRPr="003101B1">
        <w:rPr>
          <w:lang w:val="en-GB" w:eastAsia="ro-MD"/>
        </w:rPr>
        <w:t>information on whether the bank applies for a prior permission or a general prior permission, taking into account additional information to be submitted under Section 2, as applicable</w:t>
      </w:r>
      <w:r w:rsidR="00EB73E0" w:rsidRPr="003101B1">
        <w:rPr>
          <w:lang w:val="en-GB" w:eastAsia="ro-MD"/>
        </w:rPr>
        <w:t>;</w:t>
      </w:r>
    </w:p>
    <w:p w14:paraId="09C70976" w14:textId="480F797A" w:rsidR="00EB73E0" w:rsidRPr="003101B1" w:rsidRDefault="000F5215" w:rsidP="009E3FAA">
      <w:pPr>
        <w:jc w:val="both"/>
        <w:rPr>
          <w:lang w:val="en-GB" w:eastAsia="ro-MD"/>
        </w:rPr>
      </w:pPr>
      <w:r w:rsidRPr="003101B1">
        <w:rPr>
          <w:lang w:val="en-GB" w:eastAsia="ro-MD"/>
        </w:rPr>
        <w:t>3</w:t>
      </w:r>
      <w:r w:rsidR="00EB73E0" w:rsidRPr="003101B1">
        <w:rPr>
          <w:lang w:val="en-GB" w:eastAsia="ro-MD"/>
        </w:rPr>
        <w:t>)</w:t>
      </w:r>
      <w:r w:rsidR="00EB73E0" w:rsidRPr="003101B1">
        <w:rPr>
          <w:sz w:val="18"/>
          <w:szCs w:val="18"/>
          <w:lang w:val="en-GB" w:eastAsia="ro-MD"/>
        </w:rPr>
        <w:t xml:space="preserve"> </w:t>
      </w:r>
      <w:r w:rsidR="00F156B2" w:rsidRPr="003101B1">
        <w:rPr>
          <w:lang w:val="en-GB" w:eastAsia="ro-MD"/>
        </w:rPr>
        <w:t xml:space="preserve">where the bank wishes to exercise a call, redeem, repurchase or repurchase Additional Tier 1 or Tier 2 instruments or related share premium accounts during the five years following their date of issuance, how the conditions set out in paragraph </w:t>
      </w:r>
      <w:r w:rsidR="00EB73E0" w:rsidRPr="003101B1">
        <w:rPr>
          <w:lang w:val="en-GB" w:eastAsia="ro-MD"/>
        </w:rPr>
        <w:t>123</w:t>
      </w:r>
      <w:r w:rsidR="00F156B2" w:rsidRPr="003101B1">
        <w:rPr>
          <w:lang w:val="en-GB" w:eastAsia="ro-MD"/>
        </w:rPr>
        <w:t xml:space="preserve"> are met</w:t>
      </w:r>
      <w:r w:rsidR="00EB73E0" w:rsidRPr="003101B1">
        <w:rPr>
          <w:lang w:val="en-GB" w:eastAsia="ro-MD"/>
        </w:rPr>
        <w:t>;</w:t>
      </w:r>
      <w:bookmarkEnd w:id="29"/>
    </w:p>
    <w:p w14:paraId="33C2A219" w14:textId="5A6CC616" w:rsidR="00EB73E0" w:rsidRPr="003101B1" w:rsidRDefault="000F5215" w:rsidP="009E3FAA">
      <w:pPr>
        <w:jc w:val="both"/>
        <w:rPr>
          <w:sz w:val="18"/>
          <w:szCs w:val="18"/>
          <w:lang w:val="en-GB" w:eastAsia="ro-MD"/>
        </w:rPr>
      </w:pPr>
      <w:r w:rsidRPr="003101B1">
        <w:rPr>
          <w:lang w:val="en-GB" w:eastAsia="ro-MD"/>
        </w:rPr>
        <w:t>4</w:t>
      </w:r>
      <w:r w:rsidR="00EB73E0" w:rsidRPr="003101B1">
        <w:rPr>
          <w:lang w:val="en-GB" w:eastAsia="ro-MD"/>
        </w:rPr>
        <w:t xml:space="preserve">) </w:t>
      </w:r>
      <w:r w:rsidR="00F156B2" w:rsidRPr="003101B1">
        <w:rPr>
          <w:lang w:val="en-GB" w:eastAsia="ro-MD"/>
        </w:rPr>
        <w:t>information on capital requirements and capital buffers, and on the leverage ratio requirement, covering at least a period of 3 years, including the level and composition of own funds before and after the action takes place and the impact of the action on regulatory requirements</w:t>
      </w:r>
      <w:r w:rsidR="00EB73E0" w:rsidRPr="003101B1">
        <w:rPr>
          <w:lang w:val="en-GB" w:eastAsia="ro-MD"/>
        </w:rPr>
        <w:t>;</w:t>
      </w:r>
      <w:r w:rsidR="00EB73E0" w:rsidRPr="003101B1">
        <w:rPr>
          <w:sz w:val="18"/>
          <w:szCs w:val="18"/>
          <w:highlight w:val="lightGray"/>
          <w:lang w:val="en-GB" w:eastAsia="ro-MD"/>
        </w:rPr>
        <w:t xml:space="preserve"> </w:t>
      </w:r>
    </w:p>
    <w:p w14:paraId="4CD175B1" w14:textId="4C856FB5" w:rsidR="00EB73E0" w:rsidRPr="003101B1" w:rsidRDefault="000F5215" w:rsidP="00EB73E0">
      <w:pPr>
        <w:jc w:val="both"/>
        <w:rPr>
          <w:sz w:val="18"/>
          <w:szCs w:val="18"/>
          <w:lang w:val="en-GB" w:eastAsia="ro-MD"/>
        </w:rPr>
      </w:pPr>
      <w:bookmarkStart w:id="30" w:name="_Hlk207004933"/>
      <w:r w:rsidRPr="003101B1">
        <w:rPr>
          <w:lang w:val="en-GB" w:eastAsia="ro-MD"/>
        </w:rPr>
        <w:t>5</w:t>
      </w:r>
      <w:r w:rsidR="00EB73E0" w:rsidRPr="003101B1">
        <w:rPr>
          <w:lang w:val="en-GB" w:eastAsia="ro-MD"/>
        </w:rPr>
        <w:t xml:space="preserve">) </w:t>
      </w:r>
      <w:r w:rsidR="00F156B2" w:rsidRPr="003101B1">
        <w:rPr>
          <w:lang w:val="en-GB" w:eastAsia="ro-MD"/>
        </w:rPr>
        <w:t xml:space="preserve">current and forward-looking information on the level and composition of own funds and the level and composition of own funds and eligible liabilities held to ensure compliance with the requirements referred to in sub-paragraph 4) before and after performing any of the actions listed in paragraph </w:t>
      </w:r>
      <w:r w:rsidR="00EB73E0" w:rsidRPr="003101B1">
        <w:rPr>
          <w:lang w:val="en-GB" w:eastAsia="ro-MD"/>
        </w:rPr>
        <w:t>119</w:t>
      </w:r>
      <w:r w:rsidR="00F156B2" w:rsidRPr="003101B1">
        <w:rPr>
          <w:lang w:val="en-GB" w:eastAsia="ro-MD"/>
        </w:rPr>
        <w:t>, respectively</w:t>
      </w:r>
      <w:r w:rsidR="00EB73E0" w:rsidRPr="003101B1">
        <w:rPr>
          <w:lang w:val="en-GB" w:eastAsia="ro-MD"/>
        </w:rPr>
        <w:t>;</w:t>
      </w:r>
      <w:r w:rsidR="00EB73E0" w:rsidRPr="003101B1">
        <w:rPr>
          <w:sz w:val="18"/>
          <w:szCs w:val="18"/>
          <w:highlight w:val="lightGray"/>
          <w:lang w:val="en-GB" w:eastAsia="ro-MD"/>
        </w:rPr>
        <w:t xml:space="preserve"> </w:t>
      </w:r>
    </w:p>
    <w:p w14:paraId="1A9CF4A0" w14:textId="1F9A0B8F" w:rsidR="00EB73E0" w:rsidRPr="003101B1" w:rsidRDefault="000F5215" w:rsidP="00EB73E0">
      <w:pPr>
        <w:jc w:val="both"/>
        <w:rPr>
          <w:lang w:val="en-GB" w:eastAsia="ro-MD"/>
        </w:rPr>
      </w:pPr>
      <w:r w:rsidRPr="003101B1">
        <w:rPr>
          <w:lang w:val="en-GB" w:eastAsia="ro-MD"/>
        </w:rPr>
        <w:t>6</w:t>
      </w:r>
      <w:r w:rsidR="00EB73E0" w:rsidRPr="003101B1">
        <w:rPr>
          <w:lang w:val="en-GB" w:eastAsia="ro-MD"/>
        </w:rPr>
        <w:t xml:space="preserve">) </w:t>
      </w:r>
      <w:r w:rsidR="00A33936" w:rsidRPr="003101B1">
        <w:rPr>
          <w:lang w:val="en-GB" w:eastAsia="ro-MD"/>
        </w:rPr>
        <w:t xml:space="preserve">the bank’s summary assessment of the impact of the action that the Bank intends to take in accordance with paragraph 119 and any such actions that the Bank intends to take in addition within three years, with respect to compliance with the requirements referred to in sub-paragraph </w:t>
      </w:r>
      <w:r w:rsidR="00163C93" w:rsidRPr="003101B1">
        <w:rPr>
          <w:lang w:val="en-GB" w:eastAsia="ro-MD"/>
        </w:rPr>
        <w:t>4</w:t>
      </w:r>
      <w:r w:rsidR="00EB73E0" w:rsidRPr="003101B1">
        <w:rPr>
          <w:lang w:val="en-GB" w:eastAsia="ro-MD"/>
        </w:rPr>
        <w:t>);</w:t>
      </w:r>
      <w:bookmarkEnd w:id="30"/>
    </w:p>
    <w:p w14:paraId="12615221" w14:textId="78D6B5F8" w:rsidR="00EB73E0" w:rsidRPr="003101B1" w:rsidRDefault="000F5215" w:rsidP="00EB73E0">
      <w:pPr>
        <w:jc w:val="both"/>
        <w:rPr>
          <w:lang w:val="en-GB" w:eastAsia="ro-MD"/>
        </w:rPr>
      </w:pPr>
      <w:bookmarkStart w:id="31" w:name="_Hlk207005051"/>
      <w:r w:rsidRPr="003101B1">
        <w:rPr>
          <w:lang w:val="en-GB" w:eastAsia="ro-MD"/>
        </w:rPr>
        <w:t>7</w:t>
      </w:r>
      <w:r w:rsidR="00EB73E0" w:rsidRPr="003101B1">
        <w:rPr>
          <w:lang w:val="en-GB" w:eastAsia="ro-MD"/>
        </w:rPr>
        <w:t xml:space="preserve">) </w:t>
      </w:r>
      <w:r w:rsidR="00A33936" w:rsidRPr="003101B1">
        <w:rPr>
          <w:lang w:val="en-GB" w:eastAsia="ro-MD"/>
        </w:rPr>
        <w:t>where the bank wishes to replace the own funds instruments or the related share premium accounts</w:t>
      </w:r>
      <w:r w:rsidR="00EB73E0" w:rsidRPr="003101B1">
        <w:rPr>
          <w:lang w:val="en-GB" w:eastAsia="ro-MD"/>
        </w:rPr>
        <w:t>:</w:t>
      </w:r>
    </w:p>
    <w:p w14:paraId="3A9871B6" w14:textId="7FA68644" w:rsidR="00EB73E0" w:rsidRPr="003101B1" w:rsidRDefault="00EB73E0" w:rsidP="00EB73E0">
      <w:pPr>
        <w:jc w:val="both"/>
        <w:rPr>
          <w:lang w:val="en-GB" w:eastAsia="ro-MD"/>
        </w:rPr>
      </w:pPr>
      <w:r w:rsidRPr="003101B1">
        <w:rPr>
          <w:lang w:val="en-GB" w:eastAsia="ro-MD"/>
        </w:rPr>
        <w:t xml:space="preserve">a) </w:t>
      </w:r>
      <w:r w:rsidR="00A33936" w:rsidRPr="003101B1">
        <w:rPr>
          <w:lang w:val="en-GB" w:eastAsia="ro-MD"/>
        </w:rPr>
        <w:t>information on the residual maturity of the replaced own funds instruments, if any, and the maturity of the own funds instruments replacing them</w:t>
      </w:r>
      <w:r w:rsidRPr="003101B1">
        <w:rPr>
          <w:lang w:val="en-GB" w:eastAsia="ro-MD"/>
        </w:rPr>
        <w:t>;</w:t>
      </w:r>
    </w:p>
    <w:p w14:paraId="054F3607" w14:textId="129AE078" w:rsidR="00EB73E0" w:rsidRPr="003101B1" w:rsidRDefault="00EB73E0" w:rsidP="00EB73E0">
      <w:pPr>
        <w:jc w:val="both"/>
        <w:rPr>
          <w:lang w:val="en-GB" w:eastAsia="ro-MD"/>
        </w:rPr>
      </w:pPr>
      <w:r w:rsidRPr="003101B1">
        <w:rPr>
          <w:lang w:val="en-GB" w:eastAsia="ro-MD"/>
        </w:rPr>
        <w:t xml:space="preserve">b) </w:t>
      </w:r>
      <w:r w:rsidR="00A33936" w:rsidRPr="003101B1">
        <w:rPr>
          <w:lang w:val="en-GB" w:eastAsia="ro-MD"/>
        </w:rPr>
        <w:t>ranking in insolvency hierarchy of replaced own funds instruments and own funds instruments replacing them</w:t>
      </w:r>
      <w:r w:rsidRPr="003101B1">
        <w:rPr>
          <w:lang w:val="en-GB" w:eastAsia="ro-MD"/>
        </w:rPr>
        <w:t>;</w:t>
      </w:r>
    </w:p>
    <w:p w14:paraId="4AD85507" w14:textId="391A2972" w:rsidR="00EB73E0" w:rsidRPr="003101B1" w:rsidRDefault="00EB73E0" w:rsidP="00EB73E0">
      <w:pPr>
        <w:jc w:val="both"/>
        <w:rPr>
          <w:lang w:val="en-GB" w:eastAsia="ro-MD"/>
        </w:rPr>
      </w:pPr>
      <w:r w:rsidRPr="003101B1">
        <w:rPr>
          <w:lang w:val="en-GB" w:eastAsia="ro-MD"/>
        </w:rPr>
        <w:t xml:space="preserve">c) </w:t>
      </w:r>
      <w:r w:rsidR="00A33936" w:rsidRPr="003101B1">
        <w:rPr>
          <w:lang w:val="en-GB" w:eastAsia="ro-MD"/>
        </w:rPr>
        <w:t>cost of own funds instruments replacing instruments or share premium accounts</w:t>
      </w:r>
      <w:r w:rsidRPr="003101B1">
        <w:rPr>
          <w:lang w:val="en-GB" w:eastAsia="ro-MD"/>
        </w:rPr>
        <w:t>;</w:t>
      </w:r>
    </w:p>
    <w:p w14:paraId="6842C701" w14:textId="098CB0E9" w:rsidR="00EB73E0" w:rsidRPr="003101B1" w:rsidRDefault="00EB73E0" w:rsidP="00EB73E0">
      <w:pPr>
        <w:jc w:val="both"/>
        <w:rPr>
          <w:lang w:val="en-GB" w:eastAsia="ro-MD"/>
        </w:rPr>
      </w:pPr>
      <w:r w:rsidRPr="003101B1">
        <w:rPr>
          <w:lang w:val="en-GB" w:eastAsia="ro-MD"/>
        </w:rPr>
        <w:t xml:space="preserve">d) </w:t>
      </w:r>
      <w:r w:rsidR="00A33936" w:rsidRPr="003101B1">
        <w:rPr>
          <w:lang w:val="en-GB" w:eastAsia="ro-MD"/>
        </w:rPr>
        <w:t>planned timing of issuance of the own funds instruments replacing the instruments or share premium accounts</w:t>
      </w:r>
      <w:r w:rsidRPr="003101B1">
        <w:rPr>
          <w:lang w:val="en-GB" w:eastAsia="ro-MD"/>
        </w:rPr>
        <w:t>;</w:t>
      </w:r>
    </w:p>
    <w:p w14:paraId="64D96CEB" w14:textId="5407B754" w:rsidR="00EB73E0" w:rsidRPr="003101B1" w:rsidRDefault="00EB73E0" w:rsidP="00EB73E0">
      <w:pPr>
        <w:jc w:val="both"/>
        <w:rPr>
          <w:lang w:val="en-GB" w:eastAsia="ro-MD"/>
        </w:rPr>
      </w:pPr>
      <w:r w:rsidRPr="003101B1">
        <w:rPr>
          <w:lang w:val="en-GB" w:eastAsia="ro-MD"/>
        </w:rPr>
        <w:t xml:space="preserve">e) </w:t>
      </w:r>
      <w:r w:rsidR="00EC74AE" w:rsidRPr="003101B1">
        <w:rPr>
          <w:lang w:val="en-GB" w:eastAsia="ro-MD"/>
        </w:rPr>
        <w:t>impact of the replacement of a capital instrument on the profitability of the bank as per paragraph 120 of the Regulation on own funds of banks and capital requirements</w:t>
      </w:r>
      <w:r w:rsidRPr="003101B1">
        <w:rPr>
          <w:lang w:val="en-GB" w:eastAsia="ro-MD"/>
        </w:rPr>
        <w:t>;</w:t>
      </w:r>
      <w:r w:rsidRPr="003101B1">
        <w:rPr>
          <w:sz w:val="18"/>
          <w:szCs w:val="18"/>
          <w:highlight w:val="lightGray"/>
          <w:lang w:val="en-GB" w:eastAsia="ro-MD"/>
        </w:rPr>
        <w:t xml:space="preserve"> </w:t>
      </w:r>
      <w:bookmarkEnd w:id="31"/>
    </w:p>
    <w:p w14:paraId="0434615F" w14:textId="4E8E56CE" w:rsidR="00EB73E0" w:rsidRPr="003101B1" w:rsidRDefault="000F5215" w:rsidP="00EB73E0">
      <w:pPr>
        <w:jc w:val="both"/>
        <w:rPr>
          <w:lang w:val="en-GB" w:eastAsia="ro-MD"/>
        </w:rPr>
      </w:pPr>
      <w:r w:rsidRPr="003101B1">
        <w:rPr>
          <w:lang w:val="en-GB" w:eastAsia="ro-MD"/>
        </w:rPr>
        <w:t>8</w:t>
      </w:r>
      <w:r w:rsidR="00EB73E0" w:rsidRPr="003101B1">
        <w:rPr>
          <w:lang w:val="en-GB" w:eastAsia="ro-MD"/>
        </w:rPr>
        <w:t xml:space="preserve">) </w:t>
      </w:r>
      <w:r w:rsidR="00EC74AE" w:rsidRPr="003101B1">
        <w:rPr>
          <w:lang w:val="en-GB" w:eastAsia="ro-MD"/>
        </w:rPr>
        <w:t>an assessment of the risks to which the bank is or might be exposed and whether the level of own funds ensures an adequate coverage of those risks, including stress testing of key risks highlighting potential losses under different scenarios</w:t>
      </w:r>
      <w:r w:rsidR="00EB73E0" w:rsidRPr="003101B1">
        <w:rPr>
          <w:lang w:val="en-GB" w:eastAsia="ro-MD"/>
        </w:rPr>
        <w:t>;</w:t>
      </w:r>
      <w:r w:rsidR="00AC31AF" w:rsidRPr="003101B1">
        <w:rPr>
          <w:lang w:val="en-GB" w:eastAsia="ro-MD"/>
        </w:rPr>
        <w:t>”;</w:t>
      </w:r>
    </w:p>
    <w:p w14:paraId="23B18FA7" w14:textId="5BC87731" w:rsidR="00EB73E0" w:rsidRPr="003101B1" w:rsidRDefault="00EC74AE" w:rsidP="00C936FF">
      <w:pPr>
        <w:pStyle w:val="ListParagraph"/>
        <w:numPr>
          <w:ilvl w:val="2"/>
          <w:numId w:val="27"/>
        </w:numPr>
        <w:ind w:left="0" w:firstLine="567"/>
        <w:jc w:val="both"/>
        <w:rPr>
          <w:lang w:val="en-GB" w:eastAsia="ro-MD"/>
        </w:rPr>
      </w:pPr>
      <w:r w:rsidRPr="003101B1">
        <w:rPr>
          <w:lang w:val="en-GB" w:eastAsia="ro-MD"/>
        </w:rPr>
        <w:t xml:space="preserve">paragraph </w:t>
      </w:r>
      <w:r w:rsidR="00684771" w:rsidRPr="003101B1">
        <w:rPr>
          <w:lang w:val="en-GB" w:eastAsia="ro-MD"/>
        </w:rPr>
        <w:t>6</w:t>
      </w:r>
      <w:r w:rsidR="00EB73E0" w:rsidRPr="003101B1">
        <w:rPr>
          <w:lang w:val="en-GB" w:eastAsia="ro-MD"/>
        </w:rPr>
        <w:t xml:space="preserve"> </w:t>
      </w:r>
      <w:r w:rsidRPr="003101B1">
        <w:rPr>
          <w:lang w:val="en-GB" w:eastAsia="ro-MD"/>
        </w:rPr>
        <w:t>shall read as follows</w:t>
      </w:r>
      <w:r w:rsidR="000B2A22" w:rsidRPr="003101B1">
        <w:rPr>
          <w:lang w:val="en-GB" w:eastAsia="ro-MD"/>
        </w:rPr>
        <w:t>:</w:t>
      </w:r>
      <w:r w:rsidR="00EB73E0" w:rsidRPr="003101B1">
        <w:rPr>
          <w:lang w:val="en-GB"/>
        </w:rPr>
        <w:t xml:space="preserve"> </w:t>
      </w:r>
    </w:p>
    <w:p w14:paraId="00C635B5" w14:textId="717CD3A1" w:rsidR="000B2A22" w:rsidRPr="003101B1" w:rsidRDefault="00EC74AE" w:rsidP="00EB73E0">
      <w:pPr>
        <w:jc w:val="both"/>
        <w:rPr>
          <w:lang w:val="en-GB" w:eastAsia="ro-MD"/>
        </w:rPr>
      </w:pPr>
      <w:r w:rsidRPr="003101B1">
        <w:rPr>
          <w:lang w:val="en-GB" w:eastAsia="ro-MD"/>
        </w:rPr>
        <w:t>“</w:t>
      </w:r>
      <w:r w:rsidR="00EB73E0" w:rsidRPr="003101B1">
        <w:rPr>
          <w:b/>
          <w:bCs/>
          <w:lang w:val="en-GB" w:eastAsia="ro-MD"/>
        </w:rPr>
        <w:t>6.</w:t>
      </w:r>
      <w:r w:rsidR="00EB73E0" w:rsidRPr="003101B1">
        <w:rPr>
          <w:lang w:val="en-GB" w:eastAsia="ro-MD"/>
        </w:rPr>
        <w:t xml:space="preserve"> </w:t>
      </w:r>
      <w:r w:rsidRPr="003101B1">
        <w:rPr>
          <w:lang w:val="en-GB" w:eastAsia="ro-MD"/>
        </w:rPr>
        <w:t>The National Bank of Moldova shall examine the request referred to in paragraph 3 of this Annex no later than 40 working days after the date of submission of the request accompanied by all the documents to be submitted to the National Bank of Moldova. The time limit may be extended by a maximum of 10 working days, with the bank subsequently informed at least 3 days before the expiry of the time limit for examining the application</w:t>
      </w:r>
      <w:r w:rsidR="00EB73E0" w:rsidRPr="003101B1">
        <w:rPr>
          <w:lang w:val="en-GB" w:eastAsia="ro-MD"/>
        </w:rPr>
        <w:t>.”;</w:t>
      </w:r>
    </w:p>
    <w:p w14:paraId="78F642DF" w14:textId="0D5BBE3F" w:rsidR="000B2A22" w:rsidRPr="003101B1" w:rsidRDefault="00EC74AE" w:rsidP="00C936FF">
      <w:pPr>
        <w:pStyle w:val="ListParagraph"/>
        <w:numPr>
          <w:ilvl w:val="2"/>
          <w:numId w:val="27"/>
        </w:numPr>
        <w:ind w:left="0" w:firstLine="567"/>
        <w:jc w:val="both"/>
        <w:rPr>
          <w:lang w:val="en-GB" w:eastAsia="ro-MD"/>
        </w:rPr>
      </w:pPr>
      <w:r w:rsidRPr="003101B1">
        <w:rPr>
          <w:lang w:val="en-GB" w:eastAsia="ro-MD"/>
        </w:rPr>
        <w:t>Sections</w:t>
      </w:r>
      <w:r w:rsidR="00A64774" w:rsidRPr="003101B1">
        <w:rPr>
          <w:lang w:val="en-GB" w:eastAsia="ro-MD"/>
        </w:rPr>
        <w:t xml:space="preserve"> </w:t>
      </w:r>
      <w:r w:rsidR="000B2A22" w:rsidRPr="003101B1">
        <w:rPr>
          <w:lang w:val="en-GB" w:eastAsia="ro-MD"/>
        </w:rPr>
        <w:t xml:space="preserve">2, 3 </w:t>
      </w:r>
      <w:r w:rsidRPr="003101B1">
        <w:rPr>
          <w:lang w:val="en-GB" w:eastAsia="ro-MD"/>
        </w:rPr>
        <w:t>and</w:t>
      </w:r>
      <w:r w:rsidR="000B2A22" w:rsidRPr="003101B1">
        <w:rPr>
          <w:lang w:val="en-GB" w:eastAsia="ro-MD"/>
        </w:rPr>
        <w:t xml:space="preserve"> 4 </w:t>
      </w:r>
      <w:r w:rsidRPr="003101B1">
        <w:rPr>
          <w:lang w:val="en-GB" w:eastAsia="ro-MD"/>
        </w:rPr>
        <w:t>shall be added with the following content</w:t>
      </w:r>
      <w:r w:rsidR="000B2A22" w:rsidRPr="003101B1">
        <w:rPr>
          <w:lang w:val="en-GB" w:eastAsia="ro-MD"/>
        </w:rPr>
        <w:t>:</w:t>
      </w:r>
    </w:p>
    <w:p w14:paraId="0215D395" w14:textId="1AB12549" w:rsidR="000B2A22" w:rsidRPr="003101B1" w:rsidRDefault="00EC74AE" w:rsidP="000B2A22">
      <w:pPr>
        <w:jc w:val="center"/>
        <w:rPr>
          <w:b/>
          <w:bCs/>
          <w:i/>
          <w:iCs/>
          <w:lang w:val="en-GB" w:eastAsia="ro-MD"/>
        </w:rPr>
      </w:pPr>
      <w:r w:rsidRPr="003101B1">
        <w:rPr>
          <w:lang w:val="en-GB" w:eastAsia="ro-MD"/>
        </w:rPr>
        <w:t>“</w:t>
      </w:r>
      <w:r w:rsidR="000B2A22" w:rsidRPr="003101B1">
        <w:rPr>
          <w:b/>
          <w:bCs/>
          <w:i/>
          <w:iCs/>
          <w:lang w:val="en-GB" w:eastAsia="ro-MD"/>
        </w:rPr>
        <w:t>Sec</w:t>
      </w:r>
      <w:r w:rsidRPr="003101B1">
        <w:rPr>
          <w:b/>
          <w:bCs/>
          <w:i/>
          <w:iCs/>
          <w:lang w:val="en-GB" w:eastAsia="ro-MD"/>
        </w:rPr>
        <w:t xml:space="preserve">tion </w:t>
      </w:r>
      <w:r w:rsidR="000B2A22" w:rsidRPr="003101B1">
        <w:rPr>
          <w:b/>
          <w:bCs/>
          <w:i/>
          <w:iCs/>
          <w:lang w:val="en-GB" w:eastAsia="ro-MD"/>
        </w:rPr>
        <w:t>2</w:t>
      </w:r>
    </w:p>
    <w:p w14:paraId="5801F446" w14:textId="7B2741D4" w:rsidR="000B2A22" w:rsidRPr="003101B1" w:rsidRDefault="00EC74AE" w:rsidP="000B2A22">
      <w:pPr>
        <w:jc w:val="center"/>
        <w:rPr>
          <w:b/>
          <w:bCs/>
          <w:i/>
          <w:iCs/>
          <w:lang w:val="en-GB" w:eastAsia="ro-MD"/>
        </w:rPr>
      </w:pPr>
      <w:r w:rsidRPr="003101B1">
        <w:rPr>
          <w:b/>
          <w:bCs/>
          <w:i/>
          <w:iCs/>
          <w:lang w:val="en-GB" w:eastAsia="ro-MD"/>
        </w:rPr>
        <w:t>Additional information to be submitted with an application for general prior approval</w:t>
      </w:r>
    </w:p>
    <w:p w14:paraId="01506A6C" w14:textId="06AECE21" w:rsidR="000B2A22" w:rsidRPr="003101B1" w:rsidRDefault="00FD1059" w:rsidP="00AA0E63">
      <w:pPr>
        <w:jc w:val="both"/>
        <w:rPr>
          <w:lang w:val="en-GB" w:eastAsia="ro-MD"/>
        </w:rPr>
      </w:pPr>
      <w:r w:rsidRPr="003101B1">
        <w:rPr>
          <w:b/>
          <w:bCs/>
          <w:lang w:val="en-GB" w:eastAsia="ro-MD"/>
        </w:rPr>
        <w:t>8</w:t>
      </w:r>
      <w:r w:rsidR="000B2A22" w:rsidRPr="003101B1">
        <w:rPr>
          <w:b/>
          <w:bCs/>
          <w:lang w:val="en-GB" w:eastAsia="ro-MD"/>
        </w:rPr>
        <w:t>.</w:t>
      </w:r>
      <w:r w:rsidR="000B2A22" w:rsidRPr="003101B1">
        <w:rPr>
          <w:lang w:val="en-GB" w:eastAsia="ro-MD"/>
        </w:rPr>
        <w:t xml:space="preserve"> </w:t>
      </w:r>
      <w:r w:rsidR="00EC74AE" w:rsidRPr="003101B1">
        <w:rPr>
          <w:lang w:val="en-GB" w:eastAsia="ro-MD"/>
        </w:rPr>
        <w:t>Where a general prior permission is sought for an action under paragraph 119 sub-paragraph 1) of that Regulation, the application shall specify the amount of each relevant Common Equity Tier 1 issue subject to that application</w:t>
      </w:r>
      <w:r w:rsidR="000B2A22" w:rsidRPr="003101B1">
        <w:rPr>
          <w:lang w:val="en-GB" w:eastAsia="ro-MD"/>
        </w:rPr>
        <w:t>.</w:t>
      </w:r>
      <w:r w:rsidR="000B2A22" w:rsidRPr="003101B1">
        <w:rPr>
          <w:sz w:val="18"/>
          <w:szCs w:val="18"/>
          <w:highlight w:val="lightGray"/>
          <w:lang w:val="en-GB" w:eastAsia="ro-MD"/>
        </w:rPr>
        <w:t xml:space="preserve"> </w:t>
      </w:r>
    </w:p>
    <w:p w14:paraId="050F61CB" w14:textId="0ABB1A28" w:rsidR="000B2A22" w:rsidRPr="003101B1" w:rsidRDefault="00FD1059" w:rsidP="00AA0E63">
      <w:pPr>
        <w:jc w:val="both"/>
        <w:rPr>
          <w:lang w:val="en-GB" w:eastAsia="ro-MD"/>
        </w:rPr>
      </w:pPr>
      <w:r w:rsidRPr="003101B1">
        <w:rPr>
          <w:b/>
          <w:bCs/>
          <w:lang w:val="en-GB" w:eastAsia="ro-MD"/>
        </w:rPr>
        <w:t>9</w:t>
      </w:r>
      <w:r w:rsidR="00AA0E63" w:rsidRPr="003101B1">
        <w:rPr>
          <w:b/>
          <w:bCs/>
          <w:lang w:val="en-GB" w:eastAsia="ro-MD"/>
        </w:rPr>
        <w:t>.</w:t>
      </w:r>
      <w:r w:rsidR="00AA0E63" w:rsidRPr="003101B1">
        <w:rPr>
          <w:lang w:val="en-GB" w:eastAsia="ro-MD"/>
        </w:rPr>
        <w:t xml:space="preserve"> </w:t>
      </w:r>
      <w:r w:rsidR="00C91D50" w:rsidRPr="003101B1">
        <w:rPr>
          <w:lang w:val="en-GB" w:eastAsia="ro-MD"/>
        </w:rPr>
        <w:t>Where general prior permission is sought for an action under paragraph 119 sub-paragraph 2), the application shall specify the following</w:t>
      </w:r>
      <w:r w:rsidR="000B2A22" w:rsidRPr="003101B1">
        <w:rPr>
          <w:lang w:val="en-GB" w:eastAsia="ro-MD"/>
        </w:rPr>
        <w:t>:</w:t>
      </w:r>
    </w:p>
    <w:p w14:paraId="3A2750D6" w14:textId="6322FCFC" w:rsidR="000B2A22" w:rsidRPr="003101B1" w:rsidRDefault="004B35DA" w:rsidP="004B35DA">
      <w:pPr>
        <w:jc w:val="both"/>
        <w:rPr>
          <w:lang w:val="en-GB" w:eastAsia="ro-MD"/>
        </w:rPr>
      </w:pPr>
      <w:r w:rsidRPr="003101B1">
        <w:rPr>
          <w:lang w:val="en-GB" w:eastAsia="ro-MD"/>
        </w:rPr>
        <w:t>1</w:t>
      </w:r>
      <w:r w:rsidR="000B2A22" w:rsidRPr="003101B1">
        <w:rPr>
          <w:lang w:val="en-GB" w:eastAsia="ro-MD"/>
        </w:rPr>
        <w:t xml:space="preserve">) </w:t>
      </w:r>
      <w:r w:rsidR="00C91D50" w:rsidRPr="003101B1">
        <w:rPr>
          <w:lang w:val="en-GB" w:eastAsia="ro-MD"/>
        </w:rPr>
        <w:t>amount of each relevant outstanding issue covered by the request</w:t>
      </w:r>
      <w:r w:rsidR="000B2A22" w:rsidRPr="003101B1">
        <w:rPr>
          <w:lang w:val="en-GB" w:eastAsia="ro-MD"/>
        </w:rPr>
        <w:t>;</w:t>
      </w:r>
    </w:p>
    <w:p w14:paraId="1154E789" w14:textId="0B0267FD" w:rsidR="000B2A22" w:rsidRPr="003101B1" w:rsidRDefault="004B35DA" w:rsidP="004B35DA">
      <w:pPr>
        <w:jc w:val="both"/>
        <w:rPr>
          <w:lang w:val="en-GB" w:eastAsia="ro-MD"/>
        </w:rPr>
      </w:pPr>
      <w:r w:rsidRPr="003101B1">
        <w:rPr>
          <w:lang w:val="en-GB" w:eastAsia="ro-MD"/>
        </w:rPr>
        <w:t>2</w:t>
      </w:r>
      <w:r w:rsidR="000B2A22" w:rsidRPr="003101B1">
        <w:rPr>
          <w:lang w:val="en-GB" w:eastAsia="ro-MD"/>
        </w:rPr>
        <w:t xml:space="preserve">) </w:t>
      </w:r>
      <w:r w:rsidR="00C91D50" w:rsidRPr="003101B1">
        <w:rPr>
          <w:lang w:val="en-GB" w:eastAsia="ro-MD"/>
        </w:rPr>
        <w:t>total carrying amount of instruments outstanding at each relevant capital level</w:t>
      </w:r>
      <w:r w:rsidR="000B2A22" w:rsidRPr="003101B1">
        <w:rPr>
          <w:lang w:val="en-GB" w:eastAsia="ro-MD"/>
        </w:rPr>
        <w:t>.</w:t>
      </w:r>
    </w:p>
    <w:p w14:paraId="0143396E" w14:textId="7619077A" w:rsidR="000B2A22" w:rsidRPr="003101B1" w:rsidRDefault="00FD1059" w:rsidP="004B35DA">
      <w:pPr>
        <w:jc w:val="both"/>
        <w:rPr>
          <w:lang w:val="en-GB" w:eastAsia="ro-MD"/>
        </w:rPr>
      </w:pPr>
      <w:r w:rsidRPr="003101B1">
        <w:rPr>
          <w:b/>
          <w:bCs/>
          <w:lang w:val="en-GB" w:eastAsia="ro-MD"/>
        </w:rPr>
        <w:t>10</w:t>
      </w:r>
      <w:r w:rsidR="000B2A22" w:rsidRPr="003101B1">
        <w:rPr>
          <w:b/>
          <w:bCs/>
          <w:lang w:val="en-GB" w:eastAsia="ro-MD"/>
        </w:rPr>
        <w:t>.</w:t>
      </w:r>
      <w:r w:rsidR="000B2A22" w:rsidRPr="003101B1">
        <w:rPr>
          <w:lang w:val="en-GB" w:eastAsia="ro-MD"/>
        </w:rPr>
        <w:t xml:space="preserve"> </w:t>
      </w:r>
      <w:r w:rsidR="00C91D50" w:rsidRPr="003101B1">
        <w:rPr>
          <w:lang w:val="en-GB" w:eastAsia="ro-MD"/>
        </w:rPr>
        <w:t>An application for general prior permission may include own funds instruments to be issued, subject to specification of the information referred to in paragraph 9, where applicable, to be provided to the National Bank of Moldova following the relevant issue</w:t>
      </w:r>
      <w:r w:rsidR="000B2A22" w:rsidRPr="003101B1">
        <w:rPr>
          <w:lang w:val="en-GB" w:eastAsia="ro-MD"/>
        </w:rPr>
        <w:t>.</w:t>
      </w:r>
      <w:r w:rsidR="000B2A22" w:rsidRPr="003101B1">
        <w:rPr>
          <w:sz w:val="18"/>
          <w:szCs w:val="18"/>
          <w:highlight w:val="lightGray"/>
          <w:lang w:val="en-GB" w:eastAsia="ro-MD"/>
        </w:rPr>
        <w:t xml:space="preserve"> </w:t>
      </w:r>
    </w:p>
    <w:p w14:paraId="0AFEEF74" w14:textId="71B904FD" w:rsidR="000B2A22" w:rsidRPr="003101B1" w:rsidRDefault="000B2A22" w:rsidP="00D04771">
      <w:pPr>
        <w:spacing w:before="120"/>
        <w:jc w:val="center"/>
        <w:rPr>
          <w:b/>
          <w:bCs/>
          <w:i/>
          <w:iCs/>
          <w:lang w:val="en-GB" w:eastAsia="ro-MD"/>
        </w:rPr>
      </w:pPr>
      <w:r w:rsidRPr="003101B1">
        <w:rPr>
          <w:b/>
          <w:bCs/>
          <w:i/>
          <w:iCs/>
          <w:lang w:val="en-GB" w:eastAsia="ro-MD"/>
        </w:rPr>
        <w:t>Se</w:t>
      </w:r>
      <w:r w:rsidR="00C91D50" w:rsidRPr="003101B1">
        <w:rPr>
          <w:b/>
          <w:bCs/>
          <w:i/>
          <w:iCs/>
          <w:lang w:val="en-GB" w:eastAsia="ro-MD"/>
        </w:rPr>
        <w:t>ction</w:t>
      </w:r>
      <w:r w:rsidRPr="003101B1">
        <w:rPr>
          <w:b/>
          <w:bCs/>
          <w:i/>
          <w:iCs/>
          <w:lang w:val="en-GB" w:eastAsia="ro-MD"/>
        </w:rPr>
        <w:t xml:space="preserve"> 3</w:t>
      </w:r>
    </w:p>
    <w:p w14:paraId="189B723E" w14:textId="0D1C51A6" w:rsidR="000B2A22" w:rsidRPr="003101B1" w:rsidRDefault="00C91D50" w:rsidP="000B2A22">
      <w:pPr>
        <w:jc w:val="center"/>
        <w:rPr>
          <w:b/>
          <w:bCs/>
          <w:i/>
          <w:iCs/>
          <w:lang w:val="en-GB" w:eastAsia="ro-MD"/>
        </w:rPr>
      </w:pPr>
      <w:r w:rsidRPr="003101B1">
        <w:rPr>
          <w:b/>
          <w:bCs/>
          <w:i/>
          <w:iCs/>
          <w:lang w:val="en-GB" w:eastAsia="ro-MD"/>
        </w:rPr>
        <w:t>Information to be submitted with an application for renewal of the general prior approval</w:t>
      </w:r>
    </w:p>
    <w:p w14:paraId="5BEB7787" w14:textId="4DA5B7C9" w:rsidR="000B2A22" w:rsidRPr="003101B1" w:rsidRDefault="00FD1059" w:rsidP="000B2A22">
      <w:pPr>
        <w:ind w:firstLine="567"/>
        <w:jc w:val="both"/>
        <w:rPr>
          <w:lang w:val="en-GB" w:eastAsia="ro-MD"/>
        </w:rPr>
      </w:pPr>
      <w:r w:rsidRPr="003101B1">
        <w:rPr>
          <w:b/>
          <w:bCs/>
          <w:lang w:val="en-GB" w:eastAsia="ro-MD"/>
        </w:rPr>
        <w:t>1</w:t>
      </w:r>
      <w:r w:rsidR="000B2A22" w:rsidRPr="003101B1">
        <w:rPr>
          <w:b/>
          <w:bCs/>
          <w:lang w:val="en-GB" w:eastAsia="ro-MD"/>
        </w:rPr>
        <w:t>1.</w:t>
      </w:r>
      <w:r w:rsidR="000B2A22" w:rsidRPr="003101B1">
        <w:rPr>
          <w:lang w:val="en-GB" w:eastAsia="ro-MD"/>
        </w:rPr>
        <w:t xml:space="preserve"> </w:t>
      </w:r>
      <w:r w:rsidR="00C91D50" w:rsidRPr="003101B1">
        <w:rPr>
          <w:lang w:val="en-GB" w:eastAsia="ro-MD"/>
        </w:rPr>
        <w:t>Before the expiry of a general prior permission, the bank may apply for its renewal for an additional period of up to one year each time, provided that the bank does not request an increase in the predetermined amount provided at the time when the general prior permission was granted and does not change the reasons referred to in paragraph 4 sub-paragraph 1) of Section 1, presented when the initial general prior permission was sought</w:t>
      </w:r>
      <w:r w:rsidR="000B2A22" w:rsidRPr="003101B1">
        <w:rPr>
          <w:lang w:val="en-GB" w:eastAsia="ro-MD"/>
        </w:rPr>
        <w:t>.</w:t>
      </w:r>
      <w:r w:rsidR="000B2A22" w:rsidRPr="003101B1">
        <w:rPr>
          <w:sz w:val="18"/>
          <w:szCs w:val="18"/>
          <w:highlight w:val="lightGray"/>
          <w:lang w:val="en-GB" w:eastAsia="ro-MD"/>
        </w:rPr>
        <w:t xml:space="preserve"> </w:t>
      </w:r>
    </w:p>
    <w:p w14:paraId="73556802" w14:textId="1A3B455E" w:rsidR="000B2A22" w:rsidRPr="003101B1" w:rsidRDefault="00FD1059" w:rsidP="000B2A22">
      <w:pPr>
        <w:ind w:firstLine="567"/>
        <w:jc w:val="both"/>
        <w:rPr>
          <w:sz w:val="18"/>
          <w:szCs w:val="18"/>
          <w:lang w:val="en-GB" w:eastAsia="ro-MD"/>
        </w:rPr>
      </w:pPr>
      <w:r w:rsidRPr="003101B1">
        <w:rPr>
          <w:b/>
          <w:bCs/>
          <w:lang w:val="en-GB" w:eastAsia="ro-MD"/>
        </w:rPr>
        <w:t>1</w:t>
      </w:r>
      <w:r w:rsidR="000B2A22" w:rsidRPr="003101B1">
        <w:rPr>
          <w:b/>
          <w:bCs/>
          <w:lang w:val="en-GB" w:eastAsia="ro-MD"/>
        </w:rPr>
        <w:t>2.</w:t>
      </w:r>
      <w:r w:rsidR="000B2A22" w:rsidRPr="003101B1">
        <w:rPr>
          <w:lang w:val="en-GB" w:eastAsia="ro-MD"/>
        </w:rPr>
        <w:t xml:space="preserve"> </w:t>
      </w:r>
      <w:r w:rsidR="00C91D50" w:rsidRPr="003101B1">
        <w:rPr>
          <w:lang w:val="en-GB" w:eastAsia="ro-MD"/>
        </w:rPr>
        <w:t xml:space="preserve">When applying for renewal of the general prior permission, the bank shall not be required to provide the information referred to in paragraph 4 sub-paragraphs 1)-4), 6) and 7) of Section </w:t>
      </w:r>
      <w:r w:rsidR="000B2A22" w:rsidRPr="003101B1">
        <w:rPr>
          <w:lang w:val="en-GB" w:eastAsia="ro-MD"/>
        </w:rPr>
        <w:t>1.</w:t>
      </w:r>
    </w:p>
    <w:p w14:paraId="17F9501E" w14:textId="70FFAC5D" w:rsidR="000B2A22" w:rsidRPr="003101B1" w:rsidRDefault="000B2A22" w:rsidP="00D04771">
      <w:pPr>
        <w:spacing w:before="120"/>
        <w:jc w:val="center"/>
        <w:rPr>
          <w:b/>
          <w:bCs/>
          <w:i/>
          <w:iCs/>
          <w:lang w:val="en-GB" w:eastAsia="ro-MD"/>
        </w:rPr>
      </w:pPr>
      <w:r w:rsidRPr="003101B1">
        <w:rPr>
          <w:b/>
          <w:bCs/>
          <w:i/>
          <w:iCs/>
          <w:lang w:val="en-GB" w:eastAsia="ro-MD"/>
        </w:rPr>
        <w:t>Sec</w:t>
      </w:r>
      <w:r w:rsidR="00C91D50" w:rsidRPr="003101B1">
        <w:rPr>
          <w:b/>
          <w:bCs/>
          <w:i/>
          <w:iCs/>
          <w:lang w:val="en-GB" w:eastAsia="ro-MD"/>
        </w:rPr>
        <w:t>tion</w:t>
      </w:r>
      <w:r w:rsidRPr="003101B1">
        <w:rPr>
          <w:b/>
          <w:bCs/>
          <w:i/>
          <w:iCs/>
          <w:lang w:val="en-GB" w:eastAsia="ro-MD"/>
        </w:rPr>
        <w:t xml:space="preserve"> 4</w:t>
      </w:r>
    </w:p>
    <w:p w14:paraId="52833C4E" w14:textId="485B09AD" w:rsidR="000B2A22" w:rsidRPr="003101B1" w:rsidRDefault="00C91D50" w:rsidP="000B2A22">
      <w:pPr>
        <w:ind w:firstLine="567"/>
        <w:jc w:val="center"/>
        <w:rPr>
          <w:b/>
          <w:bCs/>
          <w:i/>
          <w:iCs/>
          <w:lang w:val="en-GB" w:eastAsia="ro-MD"/>
        </w:rPr>
      </w:pPr>
      <w:r w:rsidRPr="003101B1">
        <w:rPr>
          <w:b/>
          <w:bCs/>
          <w:i/>
          <w:iCs/>
          <w:lang w:val="en-GB" w:eastAsia="ro-MD"/>
        </w:rPr>
        <w:t>Deadlines for the submission of the application by the banks</w:t>
      </w:r>
    </w:p>
    <w:p w14:paraId="083D091C" w14:textId="1F4573D0" w:rsidR="000B2A22" w:rsidRPr="003101B1" w:rsidRDefault="000B2A22" w:rsidP="000B2A22">
      <w:pPr>
        <w:ind w:firstLine="567"/>
        <w:jc w:val="both"/>
        <w:rPr>
          <w:lang w:val="en-GB" w:eastAsia="ro-MD"/>
        </w:rPr>
      </w:pPr>
      <w:r w:rsidRPr="003101B1">
        <w:rPr>
          <w:b/>
          <w:bCs/>
          <w:lang w:val="en-GB" w:eastAsia="ro-MD"/>
        </w:rPr>
        <w:t>1</w:t>
      </w:r>
      <w:r w:rsidR="00FD1059" w:rsidRPr="003101B1">
        <w:rPr>
          <w:b/>
          <w:bCs/>
          <w:lang w:val="en-GB" w:eastAsia="ro-MD"/>
        </w:rPr>
        <w:t>3</w:t>
      </w:r>
      <w:r w:rsidRPr="003101B1">
        <w:rPr>
          <w:b/>
          <w:bCs/>
          <w:lang w:val="en-GB" w:eastAsia="ro-MD"/>
        </w:rPr>
        <w:t>.</w:t>
      </w:r>
      <w:r w:rsidRPr="003101B1">
        <w:rPr>
          <w:lang w:val="en-GB" w:eastAsia="ro-MD"/>
        </w:rPr>
        <w:t xml:space="preserve"> </w:t>
      </w:r>
      <w:r w:rsidR="00C91D50" w:rsidRPr="003101B1">
        <w:rPr>
          <w:lang w:val="en-GB" w:eastAsia="ro-MD"/>
        </w:rPr>
        <w:t>For prior approval or general prior approval, the bank shall submit a complete application and the required information to the National Bank of Moldova at least three months before the date on which one of the actions listed in paragraph 119 will be announced to the holders of the instruments</w:t>
      </w:r>
      <w:r w:rsidRPr="003101B1">
        <w:rPr>
          <w:lang w:val="en-GB" w:eastAsia="ro-MD"/>
        </w:rPr>
        <w:t>.</w:t>
      </w:r>
    </w:p>
    <w:p w14:paraId="2893270E" w14:textId="39B5A15D" w:rsidR="000B2A22" w:rsidRPr="003101B1" w:rsidRDefault="00FD1059" w:rsidP="000B2A22">
      <w:pPr>
        <w:ind w:firstLine="567"/>
        <w:jc w:val="both"/>
        <w:rPr>
          <w:lang w:val="en-GB" w:eastAsia="ro-MD"/>
        </w:rPr>
      </w:pPr>
      <w:r w:rsidRPr="003101B1">
        <w:rPr>
          <w:b/>
          <w:bCs/>
          <w:lang w:val="en-GB" w:eastAsia="ro-MD"/>
        </w:rPr>
        <w:t>14</w:t>
      </w:r>
      <w:r w:rsidR="000B2A22" w:rsidRPr="003101B1">
        <w:rPr>
          <w:b/>
          <w:bCs/>
          <w:lang w:val="en-GB" w:eastAsia="ro-MD"/>
        </w:rPr>
        <w:t>.</w:t>
      </w:r>
      <w:r w:rsidR="000B2A22" w:rsidRPr="003101B1">
        <w:rPr>
          <w:lang w:val="en-GB" w:eastAsia="ro-MD"/>
        </w:rPr>
        <w:t xml:space="preserve"> </w:t>
      </w:r>
      <w:r w:rsidR="00C91D50" w:rsidRPr="003101B1">
        <w:rPr>
          <w:lang w:val="en-GB" w:eastAsia="ro-MD"/>
        </w:rPr>
        <w:t>By way of derogation from paragraph 13, if the renewal of a general prior permission is requested, the bank shall transmit the request and the requested information to the National Bank of Moldova at least three months before the expiry of the period for which the initial general prior permission was granted</w:t>
      </w:r>
      <w:r w:rsidR="000B2A22" w:rsidRPr="003101B1">
        <w:rPr>
          <w:lang w:val="en-GB" w:eastAsia="ro-MD"/>
        </w:rPr>
        <w:t>.</w:t>
      </w:r>
      <w:r w:rsidR="000B2A22" w:rsidRPr="003101B1">
        <w:rPr>
          <w:sz w:val="18"/>
          <w:szCs w:val="18"/>
          <w:highlight w:val="lightGray"/>
          <w:lang w:val="en-GB" w:eastAsia="ro-MD"/>
        </w:rPr>
        <w:t xml:space="preserve"> </w:t>
      </w:r>
    </w:p>
    <w:p w14:paraId="304DFA2F" w14:textId="1C2E9E8E" w:rsidR="000B2A22" w:rsidRPr="003101B1" w:rsidRDefault="00FD1059" w:rsidP="000B2A22">
      <w:pPr>
        <w:ind w:firstLine="567"/>
        <w:jc w:val="both"/>
        <w:rPr>
          <w:lang w:val="en-GB" w:eastAsia="ro-MD"/>
        </w:rPr>
      </w:pPr>
      <w:r w:rsidRPr="003101B1">
        <w:rPr>
          <w:b/>
          <w:bCs/>
          <w:lang w:val="en-GB" w:eastAsia="ro-MD"/>
        </w:rPr>
        <w:t>15</w:t>
      </w:r>
      <w:r w:rsidR="000B2A22" w:rsidRPr="003101B1">
        <w:rPr>
          <w:b/>
          <w:bCs/>
          <w:lang w:val="en-GB" w:eastAsia="ro-MD"/>
        </w:rPr>
        <w:t>.</w:t>
      </w:r>
      <w:r w:rsidR="000B2A22" w:rsidRPr="003101B1">
        <w:rPr>
          <w:lang w:val="en-GB" w:eastAsia="ro-MD"/>
        </w:rPr>
        <w:t xml:space="preserve"> </w:t>
      </w:r>
      <w:r w:rsidR="00C91D50" w:rsidRPr="003101B1">
        <w:rPr>
          <w:lang w:val="en-GB" w:eastAsia="ro-MD"/>
        </w:rPr>
        <w:t>The National Bank of Moldova may allow banks, on a case-by-case basis and in exceptional circumstances, to submit the request referred to in paragraphs 13 and 15 within a period shorter than the periods set out in those paragraphs</w:t>
      </w:r>
      <w:r w:rsidR="000B2A22" w:rsidRPr="003101B1">
        <w:rPr>
          <w:lang w:val="en-GB" w:eastAsia="ro-MD"/>
        </w:rPr>
        <w:t>.</w:t>
      </w:r>
      <w:r w:rsidR="000B2A22" w:rsidRPr="003101B1">
        <w:rPr>
          <w:sz w:val="18"/>
          <w:szCs w:val="18"/>
          <w:highlight w:val="lightGray"/>
          <w:lang w:val="en-GB" w:eastAsia="ro-MD"/>
        </w:rPr>
        <w:t xml:space="preserve"> </w:t>
      </w:r>
    </w:p>
    <w:p w14:paraId="27FE2478" w14:textId="46D52552" w:rsidR="000B2A22" w:rsidRPr="003101B1" w:rsidRDefault="00FD1059" w:rsidP="000B2A22">
      <w:pPr>
        <w:ind w:firstLine="567"/>
        <w:jc w:val="both"/>
        <w:rPr>
          <w:lang w:val="en-GB" w:eastAsia="ro-MD"/>
        </w:rPr>
      </w:pPr>
      <w:r w:rsidRPr="003101B1">
        <w:rPr>
          <w:b/>
          <w:bCs/>
          <w:lang w:val="en-GB" w:eastAsia="ro-MD"/>
        </w:rPr>
        <w:t>16</w:t>
      </w:r>
      <w:r w:rsidR="000B2A22" w:rsidRPr="003101B1">
        <w:rPr>
          <w:b/>
          <w:bCs/>
          <w:lang w:val="en-GB" w:eastAsia="ro-MD"/>
        </w:rPr>
        <w:t>.</w:t>
      </w:r>
      <w:r w:rsidR="000B2A22" w:rsidRPr="003101B1">
        <w:rPr>
          <w:lang w:val="en-GB" w:eastAsia="ro-MD"/>
        </w:rPr>
        <w:t xml:space="preserve"> </w:t>
      </w:r>
      <w:r w:rsidR="00C91D50" w:rsidRPr="003101B1">
        <w:rPr>
          <w:lang w:val="en-GB" w:eastAsia="ro-MD"/>
        </w:rPr>
        <w:t>The National Bank of Moldova shall process an application within the time limit referred to in paragraphs 13 to 15, as applicable. The National Bank of Moldova shall take into account new information received during this period, where available and where it considers it to be significant. The National Bank of Moldova shall process the request only if the bank has provided all the information set out in this Annex</w:t>
      </w:r>
      <w:r w:rsidR="000B2A22" w:rsidRPr="003101B1">
        <w:rPr>
          <w:lang w:val="en-GB" w:eastAsia="ro-MD"/>
        </w:rPr>
        <w:t>.”.</w:t>
      </w:r>
    </w:p>
    <w:p w14:paraId="13F6E53E" w14:textId="77777777" w:rsidR="00517E95" w:rsidRPr="003101B1" w:rsidRDefault="00517E95" w:rsidP="000B2A22">
      <w:pPr>
        <w:rPr>
          <w:lang w:val="en-GB"/>
        </w:rPr>
      </w:pPr>
      <w:bookmarkStart w:id="32" w:name="_Hlk78366134"/>
    </w:p>
    <w:p w14:paraId="5B1D9CAD" w14:textId="6CEF5AB2" w:rsidR="002C0C4F" w:rsidRPr="003101B1" w:rsidRDefault="00C91D50" w:rsidP="00C936FF">
      <w:pPr>
        <w:pStyle w:val="ListParagraph"/>
        <w:numPr>
          <w:ilvl w:val="0"/>
          <w:numId w:val="27"/>
        </w:numPr>
        <w:tabs>
          <w:tab w:val="left" w:pos="0"/>
        </w:tabs>
        <w:spacing w:after="80"/>
        <w:ind w:left="0" w:firstLine="567"/>
        <w:contextualSpacing w:val="0"/>
        <w:jc w:val="both"/>
        <w:rPr>
          <w:lang w:val="en-GB"/>
        </w:rPr>
      </w:pPr>
      <w:r w:rsidRPr="003101B1">
        <w:rPr>
          <w:lang w:val="en-GB"/>
        </w:rPr>
        <w:t>Paragraph</w:t>
      </w:r>
      <w:r w:rsidR="009C1ABD" w:rsidRPr="003101B1">
        <w:rPr>
          <w:lang w:val="en-GB"/>
        </w:rPr>
        <w:t xml:space="preserve"> </w:t>
      </w:r>
      <w:r w:rsidR="00F27A77" w:rsidRPr="003101B1">
        <w:rPr>
          <w:lang w:val="en-GB"/>
        </w:rPr>
        <w:t>30 sub</w:t>
      </w:r>
      <w:r w:rsidRPr="003101B1">
        <w:rPr>
          <w:lang w:val="en-GB"/>
        </w:rPr>
        <w:t xml:space="preserve">-paragraph </w:t>
      </w:r>
      <w:r w:rsidR="00F27A77" w:rsidRPr="003101B1">
        <w:rPr>
          <w:lang w:val="en-GB"/>
        </w:rPr>
        <w:t xml:space="preserve">12) </w:t>
      </w:r>
      <w:r w:rsidRPr="003101B1">
        <w:rPr>
          <w:lang w:val="en-GB"/>
        </w:rPr>
        <w:t>of the regulation referred to in paragraph 2, relating to the applicable amount of insufficient coverage for non-performing exposures, will not apply to exposures originated until the entry into force of this Decision</w:t>
      </w:r>
      <w:r w:rsidR="009C1ABD" w:rsidRPr="003101B1">
        <w:rPr>
          <w:lang w:val="en-GB"/>
        </w:rPr>
        <w:t>.</w:t>
      </w:r>
    </w:p>
    <w:bookmarkEnd w:id="32"/>
    <w:p w14:paraId="70200889" w14:textId="6EE3B630" w:rsidR="00174014" w:rsidRPr="003101B1" w:rsidRDefault="00F05430" w:rsidP="002462C8">
      <w:pPr>
        <w:pStyle w:val="ListParagraph"/>
        <w:numPr>
          <w:ilvl w:val="0"/>
          <w:numId w:val="27"/>
        </w:numPr>
        <w:tabs>
          <w:tab w:val="left" w:pos="0"/>
        </w:tabs>
        <w:spacing w:after="80"/>
        <w:ind w:left="0" w:firstLine="567"/>
        <w:contextualSpacing w:val="0"/>
        <w:jc w:val="both"/>
        <w:rPr>
          <w:lang w:val="en-GB"/>
        </w:rPr>
      </w:pPr>
      <w:r w:rsidRPr="003101B1">
        <w:rPr>
          <w:lang w:val="en-GB"/>
        </w:rPr>
        <w:t>This Decision shall enter into force on 1 July 2027, with the exception of paragraph 2.76 concerning distributions to shareholders, which shall enter into force on the expiry of one month from the date of its publication in the Official Gazette of the Republic of Moldova, and paragraphs 2.7, 2.8, 2.40, 2.45 to 2.48, 2.50, 2.57 to 2.59, 2.82.1, 2.85.4 in the part concerning eligible liabilities and any conditions and references to eligible liabilities which shall enter into force on the date of entry into force of the Treaty of Accession of the Republic of Moldova to the European Union</w:t>
      </w:r>
      <w:r w:rsidR="005271B0" w:rsidRPr="003101B1">
        <w:rPr>
          <w:lang w:val="en-GB"/>
        </w:rPr>
        <w:t>.</w:t>
      </w:r>
    </w:p>
    <w:sectPr w:rsidR="00174014" w:rsidRPr="003101B1" w:rsidSect="000A0A0B">
      <w:headerReference w:type="even" r:id="rId13"/>
      <w:headerReference w:type="default" r:id="rId14"/>
      <w:footerReference w:type="even" r:id="rId15"/>
      <w:footerReference w:type="default" r:id="rId16"/>
      <w:headerReference w:type="first" r:id="rId17"/>
      <w:footerReference w:type="first" r:id="rId1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5F70" w14:textId="77777777" w:rsidR="00CF4CFA" w:rsidRDefault="00CF4CFA" w:rsidP="00D5426C">
      <w:r>
        <w:separator/>
      </w:r>
    </w:p>
  </w:endnote>
  <w:endnote w:type="continuationSeparator" w:id="0">
    <w:p w14:paraId="628C45AD" w14:textId="77777777" w:rsidR="00CF4CFA" w:rsidRDefault="00CF4CFA"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3383" w14:textId="77777777" w:rsidR="00CF4CFA" w:rsidRDefault="00CF4CFA" w:rsidP="00D5426C">
      <w:r>
        <w:separator/>
      </w:r>
    </w:p>
  </w:footnote>
  <w:footnote w:type="continuationSeparator" w:id="0">
    <w:p w14:paraId="14562CF0" w14:textId="77777777" w:rsidR="00CF4CFA" w:rsidRDefault="00CF4CFA"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33" w:name="TITUS1HeaderEvenPages"/>
    <w:r>
      <w:t xml:space="preserve"> </w:t>
    </w:r>
  </w:p>
  <w:bookmarkEnd w:id="33"/>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53783F39" w:rsidR="00275D6F" w:rsidRPr="001409D9" w:rsidRDefault="00275D6F" w:rsidP="001409D9">
    <w:pPr>
      <w:pStyle w:val="Header"/>
      <w:jc w:val="right"/>
      <w:rPr>
        <w:b/>
        <w:bCs/>
        <w:lang w:val="ro-MD"/>
      </w:rPr>
    </w:pPr>
    <w:r w:rsidRPr="001409D9">
      <w:rPr>
        <w:b/>
        <w:bCs/>
        <w:lang w:val="ro-MD"/>
      </w:rPr>
      <w:t>E</w:t>
    </w:r>
    <w:r w:rsidR="006052B4">
      <w:rPr>
        <w:b/>
        <w:bCs/>
        <w:lang w:val="ro-MD"/>
      </w:rPr>
      <w: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CB"/>
    <w:multiLevelType w:val="hybridMultilevel"/>
    <w:tmpl w:val="34667FDE"/>
    <w:lvl w:ilvl="0" w:tplc="F8EE5CB0">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2FE6F74"/>
    <w:multiLevelType w:val="multilevel"/>
    <w:tmpl w:val="1DC2DDF8"/>
    <w:lvl w:ilvl="0">
      <w:start w:val="1"/>
      <w:numFmt w:val="decimal"/>
      <w:lvlText w:val="%1"/>
      <w:lvlJc w:val="left"/>
      <w:pPr>
        <w:ind w:left="600" w:hanging="600"/>
      </w:pPr>
      <w:rPr>
        <w:rFonts w:hint="default"/>
      </w:rPr>
    </w:lvl>
    <w:lvl w:ilvl="1">
      <w:start w:val="5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F10010"/>
    <w:multiLevelType w:val="multilevel"/>
    <w:tmpl w:val="0D886D82"/>
    <w:lvl w:ilvl="0">
      <w:start w:val="1"/>
      <w:numFmt w:val="decimal"/>
      <w:lvlText w:val="%1"/>
      <w:lvlJc w:val="left"/>
      <w:pPr>
        <w:ind w:left="600" w:hanging="600"/>
      </w:pPr>
      <w:rPr>
        <w:rFonts w:hint="default"/>
      </w:rPr>
    </w:lvl>
    <w:lvl w:ilvl="1">
      <w:start w:val="4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59C78AD"/>
    <w:multiLevelType w:val="multilevel"/>
    <w:tmpl w:val="FF1C5F60"/>
    <w:lvl w:ilvl="0">
      <w:start w:val="1"/>
      <w:numFmt w:val="decimal"/>
      <w:lvlText w:val="%1."/>
      <w:lvlJc w:val="left"/>
      <w:pPr>
        <w:ind w:left="480" w:hanging="480"/>
      </w:pPr>
      <w:rPr>
        <w:rFonts w:hint="default"/>
      </w:rPr>
    </w:lvl>
    <w:lvl w:ilvl="1">
      <w:start w:val="13"/>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E6D9E"/>
    <w:multiLevelType w:val="multilevel"/>
    <w:tmpl w:val="84F42A76"/>
    <w:lvl w:ilvl="0">
      <w:start w:val="1"/>
      <w:numFmt w:val="decimal"/>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DF2DE2"/>
    <w:multiLevelType w:val="multilevel"/>
    <w:tmpl w:val="C338F246"/>
    <w:lvl w:ilvl="0">
      <w:start w:val="1"/>
      <w:numFmt w:val="decimal"/>
      <w:lvlText w:val="%1"/>
      <w:lvlJc w:val="left"/>
      <w:pPr>
        <w:ind w:left="780" w:hanging="780"/>
      </w:pPr>
      <w:rPr>
        <w:rFonts w:hint="default"/>
      </w:rPr>
    </w:lvl>
    <w:lvl w:ilvl="1">
      <w:start w:val="49"/>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1"/>
      <w:numFmt w:val="decimal"/>
      <w:lvlText w:val="%1.%2.%3.%4"/>
      <w:lvlJc w:val="left"/>
      <w:pPr>
        <w:ind w:left="1347" w:hanging="780"/>
      </w:pPr>
      <w:rPr>
        <w:rFonts w:hint="default"/>
        <w:b/>
        <w:bCs/>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442035C0"/>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1849" w:hanging="432"/>
      </w:pPr>
      <w:rPr>
        <w:rFonts w:hint="default"/>
        <w:b/>
        <w:bCs/>
      </w:rPr>
    </w:lvl>
    <w:lvl w:ilvl="2">
      <w:start w:val="1"/>
      <w:numFmt w:val="decimal"/>
      <w:suff w:val="space"/>
      <w:lvlText w:val="%1.%2.%3."/>
      <w:lvlJc w:val="left"/>
      <w:pPr>
        <w:ind w:left="2488" w:hanging="504"/>
      </w:pPr>
      <w:rPr>
        <w:rFonts w:hint="default"/>
        <w:b/>
        <w:bCs/>
      </w:rPr>
    </w:lvl>
    <w:lvl w:ilvl="3">
      <w:start w:val="1"/>
      <w:numFmt w:val="decimal"/>
      <w:lvlText w:val="%1.%2.%3.%4."/>
      <w:lvlJc w:val="left"/>
      <w:pPr>
        <w:ind w:left="1783"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4F58D3"/>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499"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AE75F2"/>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4D70A8C"/>
    <w:multiLevelType w:val="multilevel"/>
    <w:tmpl w:val="9F74B8FA"/>
    <w:lvl w:ilvl="0">
      <w:start w:val="1"/>
      <w:numFmt w:val="decimal"/>
      <w:lvlText w:val="%1"/>
      <w:lvlJc w:val="left"/>
      <w:pPr>
        <w:ind w:left="600" w:hanging="600"/>
      </w:pPr>
      <w:rPr>
        <w:rFonts w:hint="default"/>
      </w:rPr>
    </w:lvl>
    <w:lvl w:ilvl="1">
      <w:start w:val="4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A1DE6"/>
    <w:multiLevelType w:val="multilevel"/>
    <w:tmpl w:val="3976F570"/>
    <w:lvl w:ilvl="0">
      <w:start w:val="1"/>
      <w:numFmt w:val="decimal"/>
      <w:lvlText w:val="%1"/>
      <w:lvlJc w:val="left"/>
      <w:pPr>
        <w:ind w:left="600" w:hanging="600"/>
      </w:pPr>
      <w:rPr>
        <w:rFonts w:hint="default"/>
      </w:rPr>
    </w:lvl>
    <w:lvl w:ilvl="1">
      <w:start w:val="29"/>
      <w:numFmt w:val="decimal"/>
      <w:lvlText w:val="%1.%2"/>
      <w:lvlJc w:val="left"/>
      <w:pPr>
        <w:ind w:left="884" w:hanging="60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2A800A7"/>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1"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666E44FE"/>
    <w:multiLevelType w:val="multilevel"/>
    <w:tmpl w:val="80FE02D2"/>
    <w:lvl w:ilvl="0">
      <w:start w:val="1"/>
      <w:numFmt w:val="decimal"/>
      <w:suff w:val="space"/>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A42C8D"/>
    <w:multiLevelType w:val="multilevel"/>
    <w:tmpl w:val="59E8825C"/>
    <w:lvl w:ilvl="0">
      <w:start w:val="1"/>
      <w:numFmt w:val="decimal"/>
      <w:lvlText w:val="%1."/>
      <w:lvlJc w:val="left"/>
      <w:pPr>
        <w:ind w:left="480" w:hanging="480"/>
      </w:pPr>
      <w:rPr>
        <w:rFonts w:hint="default"/>
        <w:b/>
        <w:bCs/>
      </w:rPr>
    </w:lvl>
    <w:lvl w:ilvl="1">
      <w:start w:val="12"/>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506B60"/>
    <w:multiLevelType w:val="multilevel"/>
    <w:tmpl w:val="73EA5810"/>
    <w:lvl w:ilvl="0">
      <w:start w:val="1"/>
      <w:numFmt w:val="decimal"/>
      <w:lvlText w:val="%1"/>
      <w:lvlJc w:val="left"/>
      <w:pPr>
        <w:ind w:left="600" w:hanging="600"/>
      </w:pPr>
      <w:rPr>
        <w:rFonts w:hint="default"/>
      </w:rPr>
    </w:lvl>
    <w:lvl w:ilvl="1">
      <w:start w:val="21"/>
      <w:numFmt w:val="decimal"/>
      <w:lvlText w:val="%1.%2"/>
      <w:lvlJc w:val="left"/>
      <w:pPr>
        <w:ind w:left="884" w:hanging="600"/>
      </w:pPr>
      <w:rPr>
        <w:rFonts w:hint="default"/>
      </w:rPr>
    </w:lvl>
    <w:lvl w:ilvl="2">
      <w:start w:val="1"/>
      <w:numFmt w:val="decimal"/>
      <w:suff w:val="space"/>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8B4FEA"/>
    <w:multiLevelType w:val="multilevel"/>
    <w:tmpl w:val="2248A2A8"/>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num w:numId="1" w16cid:durableId="11009526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3"/>
  </w:num>
  <w:num w:numId="3" w16cid:durableId="741291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1"/>
  </w:num>
  <w:num w:numId="13" w16cid:durableId="1370764555">
    <w:abstractNumId w:val="3"/>
  </w:num>
  <w:num w:numId="14" w16cid:durableId="140847304">
    <w:abstractNumId w:val="4"/>
  </w:num>
  <w:num w:numId="15" w16cid:durableId="2118869199">
    <w:abstractNumId w:val="17"/>
  </w:num>
  <w:num w:numId="16" w16cid:durableId="1236402705">
    <w:abstractNumId w:val="7"/>
  </w:num>
  <w:num w:numId="17" w16cid:durableId="595210150">
    <w:abstractNumId w:val="38"/>
  </w:num>
  <w:num w:numId="18" w16cid:durableId="1710298874">
    <w:abstractNumId w:val="26"/>
  </w:num>
  <w:num w:numId="19" w16cid:durableId="547568932">
    <w:abstractNumId w:val="8"/>
  </w:num>
  <w:num w:numId="20" w16cid:durableId="1677152211">
    <w:abstractNumId w:val="1"/>
  </w:num>
  <w:num w:numId="21" w16cid:durableId="1915623828">
    <w:abstractNumId w:val="5"/>
  </w:num>
  <w:num w:numId="22" w16cid:durableId="283539057">
    <w:abstractNumId w:val="18"/>
  </w:num>
  <w:num w:numId="23" w16cid:durableId="1503735004">
    <w:abstractNumId w:val="29"/>
  </w:num>
  <w:num w:numId="24" w16cid:durableId="556627740">
    <w:abstractNumId w:val="25"/>
  </w:num>
  <w:num w:numId="25" w16cid:durableId="1084183317">
    <w:abstractNumId w:val="19"/>
  </w:num>
  <w:num w:numId="26" w16cid:durableId="1341809678">
    <w:abstractNumId w:val="6"/>
  </w:num>
  <w:num w:numId="27" w16cid:durableId="1399354093">
    <w:abstractNumId w:val="14"/>
  </w:num>
  <w:num w:numId="28" w16cid:durableId="2086223247">
    <w:abstractNumId w:val="28"/>
  </w:num>
  <w:num w:numId="29" w16cid:durableId="277491815">
    <w:abstractNumId w:val="37"/>
  </w:num>
  <w:num w:numId="30" w16cid:durableId="2084834272">
    <w:abstractNumId w:val="32"/>
  </w:num>
  <w:num w:numId="31" w16cid:durableId="1485588519">
    <w:abstractNumId w:val="11"/>
  </w:num>
  <w:num w:numId="32" w16cid:durableId="1951008876">
    <w:abstractNumId w:val="35"/>
  </w:num>
  <w:num w:numId="33" w16cid:durableId="698624472">
    <w:abstractNumId w:val="27"/>
  </w:num>
  <w:num w:numId="34" w16cid:durableId="933365191">
    <w:abstractNumId w:val="10"/>
  </w:num>
  <w:num w:numId="35" w16cid:durableId="1829789703">
    <w:abstractNumId w:val="22"/>
  </w:num>
  <w:num w:numId="36" w16cid:durableId="334381810">
    <w:abstractNumId w:val="2"/>
  </w:num>
  <w:num w:numId="37" w16cid:durableId="678973057">
    <w:abstractNumId w:val="34"/>
  </w:num>
  <w:num w:numId="38" w16cid:durableId="221019245">
    <w:abstractNumId w:val="16"/>
  </w:num>
  <w:num w:numId="39" w16cid:durableId="635569931">
    <w:abstractNumId w:val="12"/>
  </w:num>
  <w:num w:numId="40" w16cid:durableId="1287002900">
    <w:abstractNumId w:val="0"/>
  </w:num>
  <w:num w:numId="41" w16cid:durableId="1823080976">
    <w:abstractNumId w:val="13"/>
  </w:num>
  <w:num w:numId="42" w16cid:durableId="1440639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19B4"/>
    <w:rsid w:val="00002DD2"/>
    <w:rsid w:val="0000332A"/>
    <w:rsid w:val="00003F20"/>
    <w:rsid w:val="00004C9C"/>
    <w:rsid w:val="000062E8"/>
    <w:rsid w:val="000073C5"/>
    <w:rsid w:val="00007AE7"/>
    <w:rsid w:val="00010190"/>
    <w:rsid w:val="00012136"/>
    <w:rsid w:val="00013153"/>
    <w:rsid w:val="00013966"/>
    <w:rsid w:val="00015A00"/>
    <w:rsid w:val="00015F9E"/>
    <w:rsid w:val="00016213"/>
    <w:rsid w:val="0001648A"/>
    <w:rsid w:val="00016E50"/>
    <w:rsid w:val="00016FD7"/>
    <w:rsid w:val="00022040"/>
    <w:rsid w:val="00022961"/>
    <w:rsid w:val="00023B04"/>
    <w:rsid w:val="0002449C"/>
    <w:rsid w:val="00024D44"/>
    <w:rsid w:val="000265C3"/>
    <w:rsid w:val="000271BA"/>
    <w:rsid w:val="00027C5E"/>
    <w:rsid w:val="00031C90"/>
    <w:rsid w:val="0003245D"/>
    <w:rsid w:val="00033BE2"/>
    <w:rsid w:val="0003402E"/>
    <w:rsid w:val="00034D45"/>
    <w:rsid w:val="00034EA2"/>
    <w:rsid w:val="00034ECD"/>
    <w:rsid w:val="000363F6"/>
    <w:rsid w:val="000365C1"/>
    <w:rsid w:val="00036A2E"/>
    <w:rsid w:val="000415C8"/>
    <w:rsid w:val="00042580"/>
    <w:rsid w:val="00042943"/>
    <w:rsid w:val="00042EFC"/>
    <w:rsid w:val="000430D5"/>
    <w:rsid w:val="000462F7"/>
    <w:rsid w:val="000469AC"/>
    <w:rsid w:val="0004725A"/>
    <w:rsid w:val="000477DB"/>
    <w:rsid w:val="00047955"/>
    <w:rsid w:val="00050E7E"/>
    <w:rsid w:val="0005138E"/>
    <w:rsid w:val="000513F6"/>
    <w:rsid w:val="0005444E"/>
    <w:rsid w:val="00054EF8"/>
    <w:rsid w:val="000567C0"/>
    <w:rsid w:val="00056B6B"/>
    <w:rsid w:val="00057B60"/>
    <w:rsid w:val="00060555"/>
    <w:rsid w:val="00061719"/>
    <w:rsid w:val="000638E9"/>
    <w:rsid w:val="00064598"/>
    <w:rsid w:val="000655A2"/>
    <w:rsid w:val="00066014"/>
    <w:rsid w:val="00066500"/>
    <w:rsid w:val="000667E3"/>
    <w:rsid w:val="00066F44"/>
    <w:rsid w:val="000703D5"/>
    <w:rsid w:val="00070DA3"/>
    <w:rsid w:val="00071E51"/>
    <w:rsid w:val="000723FD"/>
    <w:rsid w:val="00072CC5"/>
    <w:rsid w:val="000730E4"/>
    <w:rsid w:val="000748E8"/>
    <w:rsid w:val="00075419"/>
    <w:rsid w:val="00075C2D"/>
    <w:rsid w:val="0007653E"/>
    <w:rsid w:val="000771C6"/>
    <w:rsid w:val="000801EC"/>
    <w:rsid w:val="000804F1"/>
    <w:rsid w:val="000807A9"/>
    <w:rsid w:val="000807AB"/>
    <w:rsid w:val="00080984"/>
    <w:rsid w:val="00082693"/>
    <w:rsid w:val="00083C8C"/>
    <w:rsid w:val="000842B5"/>
    <w:rsid w:val="00084DA9"/>
    <w:rsid w:val="00085B0E"/>
    <w:rsid w:val="000868D8"/>
    <w:rsid w:val="00090870"/>
    <w:rsid w:val="00091C2F"/>
    <w:rsid w:val="00091D0F"/>
    <w:rsid w:val="00092038"/>
    <w:rsid w:val="00092360"/>
    <w:rsid w:val="00092B8E"/>
    <w:rsid w:val="000934AD"/>
    <w:rsid w:val="000934D7"/>
    <w:rsid w:val="000954C3"/>
    <w:rsid w:val="00095646"/>
    <w:rsid w:val="00095E2F"/>
    <w:rsid w:val="000964CF"/>
    <w:rsid w:val="000A0A0B"/>
    <w:rsid w:val="000A11E4"/>
    <w:rsid w:val="000A1329"/>
    <w:rsid w:val="000A3B8D"/>
    <w:rsid w:val="000A4291"/>
    <w:rsid w:val="000A4376"/>
    <w:rsid w:val="000A465A"/>
    <w:rsid w:val="000A47CB"/>
    <w:rsid w:val="000A4CB1"/>
    <w:rsid w:val="000A5A0D"/>
    <w:rsid w:val="000A7696"/>
    <w:rsid w:val="000A7BAC"/>
    <w:rsid w:val="000B10CF"/>
    <w:rsid w:val="000B197D"/>
    <w:rsid w:val="000B2510"/>
    <w:rsid w:val="000B2A22"/>
    <w:rsid w:val="000B355C"/>
    <w:rsid w:val="000B3CD0"/>
    <w:rsid w:val="000B40A9"/>
    <w:rsid w:val="000B4B74"/>
    <w:rsid w:val="000B7B64"/>
    <w:rsid w:val="000B7F40"/>
    <w:rsid w:val="000C0050"/>
    <w:rsid w:val="000C0C20"/>
    <w:rsid w:val="000C2549"/>
    <w:rsid w:val="000C4044"/>
    <w:rsid w:val="000C489E"/>
    <w:rsid w:val="000C6316"/>
    <w:rsid w:val="000C632E"/>
    <w:rsid w:val="000C77ED"/>
    <w:rsid w:val="000D022C"/>
    <w:rsid w:val="000D34B8"/>
    <w:rsid w:val="000D3711"/>
    <w:rsid w:val="000D401A"/>
    <w:rsid w:val="000D4A6D"/>
    <w:rsid w:val="000D658C"/>
    <w:rsid w:val="000D7EA3"/>
    <w:rsid w:val="000D7FD4"/>
    <w:rsid w:val="000E2704"/>
    <w:rsid w:val="000E37E8"/>
    <w:rsid w:val="000E409B"/>
    <w:rsid w:val="000E45D3"/>
    <w:rsid w:val="000E7243"/>
    <w:rsid w:val="000E7726"/>
    <w:rsid w:val="000E79C7"/>
    <w:rsid w:val="000F0C57"/>
    <w:rsid w:val="000F15A8"/>
    <w:rsid w:val="000F18DA"/>
    <w:rsid w:val="000F194C"/>
    <w:rsid w:val="000F1C4E"/>
    <w:rsid w:val="000F219D"/>
    <w:rsid w:val="000F36E4"/>
    <w:rsid w:val="000F40D5"/>
    <w:rsid w:val="000F4D92"/>
    <w:rsid w:val="000F5215"/>
    <w:rsid w:val="000F602B"/>
    <w:rsid w:val="000F6FC6"/>
    <w:rsid w:val="000F7785"/>
    <w:rsid w:val="000F7BDF"/>
    <w:rsid w:val="000F7F6A"/>
    <w:rsid w:val="00101437"/>
    <w:rsid w:val="0010486A"/>
    <w:rsid w:val="00104F6D"/>
    <w:rsid w:val="0010534B"/>
    <w:rsid w:val="00105408"/>
    <w:rsid w:val="001059EF"/>
    <w:rsid w:val="00105FCA"/>
    <w:rsid w:val="001077C1"/>
    <w:rsid w:val="00107A0C"/>
    <w:rsid w:val="00112722"/>
    <w:rsid w:val="001139FC"/>
    <w:rsid w:val="00115B4D"/>
    <w:rsid w:val="001161B2"/>
    <w:rsid w:val="001173C5"/>
    <w:rsid w:val="00117AD7"/>
    <w:rsid w:val="00121990"/>
    <w:rsid w:val="00121E6F"/>
    <w:rsid w:val="0012202A"/>
    <w:rsid w:val="00122DF4"/>
    <w:rsid w:val="0012338B"/>
    <w:rsid w:val="001236EA"/>
    <w:rsid w:val="00123A40"/>
    <w:rsid w:val="00124994"/>
    <w:rsid w:val="00125281"/>
    <w:rsid w:val="001263A3"/>
    <w:rsid w:val="00126865"/>
    <w:rsid w:val="001274C3"/>
    <w:rsid w:val="00127FB7"/>
    <w:rsid w:val="00130B29"/>
    <w:rsid w:val="00132342"/>
    <w:rsid w:val="001325DE"/>
    <w:rsid w:val="001351BD"/>
    <w:rsid w:val="001356E0"/>
    <w:rsid w:val="00135A0B"/>
    <w:rsid w:val="00136205"/>
    <w:rsid w:val="0013698F"/>
    <w:rsid w:val="00136B46"/>
    <w:rsid w:val="00136F0B"/>
    <w:rsid w:val="001370D8"/>
    <w:rsid w:val="001409D9"/>
    <w:rsid w:val="00141516"/>
    <w:rsid w:val="00143DCB"/>
    <w:rsid w:val="001455A6"/>
    <w:rsid w:val="00147107"/>
    <w:rsid w:val="00147E3F"/>
    <w:rsid w:val="001506C4"/>
    <w:rsid w:val="00151E45"/>
    <w:rsid w:val="001537B3"/>
    <w:rsid w:val="00157B95"/>
    <w:rsid w:val="0016016F"/>
    <w:rsid w:val="00160864"/>
    <w:rsid w:val="00161438"/>
    <w:rsid w:val="00161CD5"/>
    <w:rsid w:val="00162EF7"/>
    <w:rsid w:val="00163C93"/>
    <w:rsid w:val="001641E3"/>
    <w:rsid w:val="001657DC"/>
    <w:rsid w:val="00165F1B"/>
    <w:rsid w:val="0016632B"/>
    <w:rsid w:val="0016680C"/>
    <w:rsid w:val="00166D3F"/>
    <w:rsid w:val="001671FE"/>
    <w:rsid w:val="00167A8E"/>
    <w:rsid w:val="00170D19"/>
    <w:rsid w:val="00172629"/>
    <w:rsid w:val="001727BF"/>
    <w:rsid w:val="00172E97"/>
    <w:rsid w:val="0017349E"/>
    <w:rsid w:val="00174014"/>
    <w:rsid w:val="00175CD2"/>
    <w:rsid w:val="00176131"/>
    <w:rsid w:val="001762E1"/>
    <w:rsid w:val="0017693E"/>
    <w:rsid w:val="00177730"/>
    <w:rsid w:val="00177A16"/>
    <w:rsid w:val="00180AB8"/>
    <w:rsid w:val="0018298B"/>
    <w:rsid w:val="00183266"/>
    <w:rsid w:val="001866E8"/>
    <w:rsid w:val="00186DD2"/>
    <w:rsid w:val="001872EF"/>
    <w:rsid w:val="00192546"/>
    <w:rsid w:val="001951E4"/>
    <w:rsid w:val="00195530"/>
    <w:rsid w:val="00195565"/>
    <w:rsid w:val="00196B11"/>
    <w:rsid w:val="0019774B"/>
    <w:rsid w:val="00197C9F"/>
    <w:rsid w:val="00197E52"/>
    <w:rsid w:val="001A059E"/>
    <w:rsid w:val="001A0608"/>
    <w:rsid w:val="001A1002"/>
    <w:rsid w:val="001A1D87"/>
    <w:rsid w:val="001A1FC6"/>
    <w:rsid w:val="001A1FF1"/>
    <w:rsid w:val="001A2628"/>
    <w:rsid w:val="001A2D08"/>
    <w:rsid w:val="001A363D"/>
    <w:rsid w:val="001A36F3"/>
    <w:rsid w:val="001A3F78"/>
    <w:rsid w:val="001A42E6"/>
    <w:rsid w:val="001A4321"/>
    <w:rsid w:val="001A543C"/>
    <w:rsid w:val="001A71D9"/>
    <w:rsid w:val="001A7BB9"/>
    <w:rsid w:val="001A7DD3"/>
    <w:rsid w:val="001B04C4"/>
    <w:rsid w:val="001B0C70"/>
    <w:rsid w:val="001B0D5A"/>
    <w:rsid w:val="001B2B86"/>
    <w:rsid w:val="001B2EC8"/>
    <w:rsid w:val="001B35E4"/>
    <w:rsid w:val="001B3F42"/>
    <w:rsid w:val="001B54B3"/>
    <w:rsid w:val="001B5FB2"/>
    <w:rsid w:val="001C0DAE"/>
    <w:rsid w:val="001C0FA8"/>
    <w:rsid w:val="001C0FC3"/>
    <w:rsid w:val="001C126B"/>
    <w:rsid w:val="001C4417"/>
    <w:rsid w:val="001C525E"/>
    <w:rsid w:val="001C68E3"/>
    <w:rsid w:val="001C7203"/>
    <w:rsid w:val="001C7868"/>
    <w:rsid w:val="001D0604"/>
    <w:rsid w:val="001D1370"/>
    <w:rsid w:val="001D15FD"/>
    <w:rsid w:val="001D22AA"/>
    <w:rsid w:val="001D3052"/>
    <w:rsid w:val="001D31B6"/>
    <w:rsid w:val="001D4A7A"/>
    <w:rsid w:val="001D50FB"/>
    <w:rsid w:val="001D6E69"/>
    <w:rsid w:val="001D7176"/>
    <w:rsid w:val="001E25C6"/>
    <w:rsid w:val="001E343A"/>
    <w:rsid w:val="001E47DD"/>
    <w:rsid w:val="001E4A00"/>
    <w:rsid w:val="001E526E"/>
    <w:rsid w:val="001E52F0"/>
    <w:rsid w:val="001E5748"/>
    <w:rsid w:val="001E576A"/>
    <w:rsid w:val="001E7EBE"/>
    <w:rsid w:val="001F0AB9"/>
    <w:rsid w:val="001F11FC"/>
    <w:rsid w:val="001F1BE0"/>
    <w:rsid w:val="001F1D70"/>
    <w:rsid w:val="001F207B"/>
    <w:rsid w:val="001F20CB"/>
    <w:rsid w:val="001F20EE"/>
    <w:rsid w:val="001F4CA0"/>
    <w:rsid w:val="001F693C"/>
    <w:rsid w:val="001F77E0"/>
    <w:rsid w:val="002009FF"/>
    <w:rsid w:val="00201B0D"/>
    <w:rsid w:val="00201D99"/>
    <w:rsid w:val="00202A85"/>
    <w:rsid w:val="002058EF"/>
    <w:rsid w:val="00205E52"/>
    <w:rsid w:val="00207EE7"/>
    <w:rsid w:val="002108CF"/>
    <w:rsid w:val="00211BE1"/>
    <w:rsid w:val="00211C16"/>
    <w:rsid w:val="00213986"/>
    <w:rsid w:val="002150E3"/>
    <w:rsid w:val="002155A2"/>
    <w:rsid w:val="00215F0D"/>
    <w:rsid w:val="00216650"/>
    <w:rsid w:val="0021784F"/>
    <w:rsid w:val="00220161"/>
    <w:rsid w:val="0022045F"/>
    <w:rsid w:val="0022375A"/>
    <w:rsid w:val="00223BE6"/>
    <w:rsid w:val="00223C31"/>
    <w:rsid w:val="00224F94"/>
    <w:rsid w:val="00225688"/>
    <w:rsid w:val="00225BE1"/>
    <w:rsid w:val="00225FB7"/>
    <w:rsid w:val="002260D4"/>
    <w:rsid w:val="0022684B"/>
    <w:rsid w:val="00226E79"/>
    <w:rsid w:val="00230594"/>
    <w:rsid w:val="002326A6"/>
    <w:rsid w:val="00232805"/>
    <w:rsid w:val="00233260"/>
    <w:rsid w:val="002344CD"/>
    <w:rsid w:val="00234B2B"/>
    <w:rsid w:val="00235F7E"/>
    <w:rsid w:val="00237BBF"/>
    <w:rsid w:val="002404C9"/>
    <w:rsid w:val="0024109D"/>
    <w:rsid w:val="00243CD1"/>
    <w:rsid w:val="00244131"/>
    <w:rsid w:val="0024503C"/>
    <w:rsid w:val="00245F14"/>
    <w:rsid w:val="002462C8"/>
    <w:rsid w:val="002466DD"/>
    <w:rsid w:val="00251C13"/>
    <w:rsid w:val="00253231"/>
    <w:rsid w:val="00255EB6"/>
    <w:rsid w:val="00256FAB"/>
    <w:rsid w:val="002574F3"/>
    <w:rsid w:val="002576C9"/>
    <w:rsid w:val="00257A52"/>
    <w:rsid w:val="00261DFF"/>
    <w:rsid w:val="002634D5"/>
    <w:rsid w:val="00264552"/>
    <w:rsid w:val="00264B1D"/>
    <w:rsid w:val="00265F43"/>
    <w:rsid w:val="00266CFA"/>
    <w:rsid w:val="0027079C"/>
    <w:rsid w:val="00270BF0"/>
    <w:rsid w:val="00274BC3"/>
    <w:rsid w:val="00275456"/>
    <w:rsid w:val="00275D6F"/>
    <w:rsid w:val="002769FD"/>
    <w:rsid w:val="002774BE"/>
    <w:rsid w:val="00280A74"/>
    <w:rsid w:val="00280FCD"/>
    <w:rsid w:val="002810DB"/>
    <w:rsid w:val="002812A4"/>
    <w:rsid w:val="002812ED"/>
    <w:rsid w:val="002819C0"/>
    <w:rsid w:val="00281C0F"/>
    <w:rsid w:val="002823F6"/>
    <w:rsid w:val="002832A1"/>
    <w:rsid w:val="0028542D"/>
    <w:rsid w:val="00285916"/>
    <w:rsid w:val="00285E0B"/>
    <w:rsid w:val="002865EE"/>
    <w:rsid w:val="00286ADF"/>
    <w:rsid w:val="00287672"/>
    <w:rsid w:val="00287B8B"/>
    <w:rsid w:val="00287FE5"/>
    <w:rsid w:val="00290EA7"/>
    <w:rsid w:val="00292716"/>
    <w:rsid w:val="00292E7D"/>
    <w:rsid w:val="00293CF2"/>
    <w:rsid w:val="00293D86"/>
    <w:rsid w:val="00293F8C"/>
    <w:rsid w:val="00294FCC"/>
    <w:rsid w:val="002957FA"/>
    <w:rsid w:val="0029623F"/>
    <w:rsid w:val="00296927"/>
    <w:rsid w:val="00297800"/>
    <w:rsid w:val="00297CF0"/>
    <w:rsid w:val="002A428C"/>
    <w:rsid w:val="002A454D"/>
    <w:rsid w:val="002A4958"/>
    <w:rsid w:val="002A5EF8"/>
    <w:rsid w:val="002A6352"/>
    <w:rsid w:val="002A77A7"/>
    <w:rsid w:val="002B1DEF"/>
    <w:rsid w:val="002B327D"/>
    <w:rsid w:val="002B3326"/>
    <w:rsid w:val="002B3B4C"/>
    <w:rsid w:val="002B3E07"/>
    <w:rsid w:val="002B408F"/>
    <w:rsid w:val="002B50E5"/>
    <w:rsid w:val="002B5D3B"/>
    <w:rsid w:val="002B6094"/>
    <w:rsid w:val="002B7D1D"/>
    <w:rsid w:val="002C0C4F"/>
    <w:rsid w:val="002C1340"/>
    <w:rsid w:val="002C2922"/>
    <w:rsid w:val="002C3979"/>
    <w:rsid w:val="002C3AED"/>
    <w:rsid w:val="002C3F59"/>
    <w:rsid w:val="002C4EC3"/>
    <w:rsid w:val="002C53A0"/>
    <w:rsid w:val="002C55DA"/>
    <w:rsid w:val="002C6128"/>
    <w:rsid w:val="002C7BCA"/>
    <w:rsid w:val="002D003F"/>
    <w:rsid w:val="002D0515"/>
    <w:rsid w:val="002D1F0D"/>
    <w:rsid w:val="002D2601"/>
    <w:rsid w:val="002D35CE"/>
    <w:rsid w:val="002D3626"/>
    <w:rsid w:val="002D3C45"/>
    <w:rsid w:val="002D4705"/>
    <w:rsid w:val="002D49EE"/>
    <w:rsid w:val="002D545C"/>
    <w:rsid w:val="002D5BDD"/>
    <w:rsid w:val="002D6A89"/>
    <w:rsid w:val="002D72E5"/>
    <w:rsid w:val="002D789A"/>
    <w:rsid w:val="002E07B8"/>
    <w:rsid w:val="002E0D6C"/>
    <w:rsid w:val="002E21F7"/>
    <w:rsid w:val="002E2BAC"/>
    <w:rsid w:val="002E478B"/>
    <w:rsid w:val="002E52DB"/>
    <w:rsid w:val="002E67F7"/>
    <w:rsid w:val="002F070E"/>
    <w:rsid w:val="002F11C8"/>
    <w:rsid w:val="002F266B"/>
    <w:rsid w:val="002F33F6"/>
    <w:rsid w:val="002F39CA"/>
    <w:rsid w:val="002F4BA7"/>
    <w:rsid w:val="002F52E9"/>
    <w:rsid w:val="002F7965"/>
    <w:rsid w:val="002F7DA2"/>
    <w:rsid w:val="003016F1"/>
    <w:rsid w:val="00304904"/>
    <w:rsid w:val="00306342"/>
    <w:rsid w:val="0030664B"/>
    <w:rsid w:val="00306A5C"/>
    <w:rsid w:val="003079E4"/>
    <w:rsid w:val="00307F98"/>
    <w:rsid w:val="003101B1"/>
    <w:rsid w:val="0031060F"/>
    <w:rsid w:val="0031149F"/>
    <w:rsid w:val="003122C9"/>
    <w:rsid w:val="003128A1"/>
    <w:rsid w:val="00312C44"/>
    <w:rsid w:val="003132B5"/>
    <w:rsid w:val="00313337"/>
    <w:rsid w:val="003138C6"/>
    <w:rsid w:val="00315A53"/>
    <w:rsid w:val="003208C5"/>
    <w:rsid w:val="00321B5E"/>
    <w:rsid w:val="0032258E"/>
    <w:rsid w:val="00323322"/>
    <w:rsid w:val="00324B58"/>
    <w:rsid w:val="00327547"/>
    <w:rsid w:val="0032776E"/>
    <w:rsid w:val="0033090C"/>
    <w:rsid w:val="003316FA"/>
    <w:rsid w:val="00332956"/>
    <w:rsid w:val="00333291"/>
    <w:rsid w:val="003343F6"/>
    <w:rsid w:val="0033465C"/>
    <w:rsid w:val="00335494"/>
    <w:rsid w:val="00337735"/>
    <w:rsid w:val="003404EE"/>
    <w:rsid w:val="003424CE"/>
    <w:rsid w:val="00343678"/>
    <w:rsid w:val="00343B19"/>
    <w:rsid w:val="003456C5"/>
    <w:rsid w:val="0034583E"/>
    <w:rsid w:val="003459C0"/>
    <w:rsid w:val="00347055"/>
    <w:rsid w:val="0034750F"/>
    <w:rsid w:val="00351665"/>
    <w:rsid w:val="00352477"/>
    <w:rsid w:val="0035495B"/>
    <w:rsid w:val="00356208"/>
    <w:rsid w:val="00356A1F"/>
    <w:rsid w:val="00356ABB"/>
    <w:rsid w:val="00357055"/>
    <w:rsid w:val="003573D6"/>
    <w:rsid w:val="00357944"/>
    <w:rsid w:val="00361DFF"/>
    <w:rsid w:val="003621D0"/>
    <w:rsid w:val="003634DB"/>
    <w:rsid w:val="00364F29"/>
    <w:rsid w:val="00365F5E"/>
    <w:rsid w:val="003671F5"/>
    <w:rsid w:val="0037083D"/>
    <w:rsid w:val="003713BA"/>
    <w:rsid w:val="003713E8"/>
    <w:rsid w:val="00373C53"/>
    <w:rsid w:val="00375D38"/>
    <w:rsid w:val="003813B5"/>
    <w:rsid w:val="00385DC8"/>
    <w:rsid w:val="00385F43"/>
    <w:rsid w:val="003861D9"/>
    <w:rsid w:val="00390847"/>
    <w:rsid w:val="00390E13"/>
    <w:rsid w:val="00390F48"/>
    <w:rsid w:val="00391DD2"/>
    <w:rsid w:val="00392E81"/>
    <w:rsid w:val="00396DFF"/>
    <w:rsid w:val="00397783"/>
    <w:rsid w:val="003977C1"/>
    <w:rsid w:val="00397B85"/>
    <w:rsid w:val="00397D54"/>
    <w:rsid w:val="003A036C"/>
    <w:rsid w:val="003A0959"/>
    <w:rsid w:val="003A0DE5"/>
    <w:rsid w:val="003A1338"/>
    <w:rsid w:val="003A716F"/>
    <w:rsid w:val="003B06B7"/>
    <w:rsid w:val="003B08F6"/>
    <w:rsid w:val="003B2235"/>
    <w:rsid w:val="003B430C"/>
    <w:rsid w:val="003B5F3E"/>
    <w:rsid w:val="003B6038"/>
    <w:rsid w:val="003C0671"/>
    <w:rsid w:val="003C0F8D"/>
    <w:rsid w:val="003C1AC9"/>
    <w:rsid w:val="003C6593"/>
    <w:rsid w:val="003C6790"/>
    <w:rsid w:val="003C6D9E"/>
    <w:rsid w:val="003C6ED2"/>
    <w:rsid w:val="003C761C"/>
    <w:rsid w:val="003C77CD"/>
    <w:rsid w:val="003D0AC4"/>
    <w:rsid w:val="003D0AEF"/>
    <w:rsid w:val="003D0BC2"/>
    <w:rsid w:val="003D1D1E"/>
    <w:rsid w:val="003D221E"/>
    <w:rsid w:val="003D2C20"/>
    <w:rsid w:val="003D30C5"/>
    <w:rsid w:val="003D33BC"/>
    <w:rsid w:val="003D38E2"/>
    <w:rsid w:val="003D4322"/>
    <w:rsid w:val="003D4C59"/>
    <w:rsid w:val="003D4EF4"/>
    <w:rsid w:val="003D51FD"/>
    <w:rsid w:val="003D5D26"/>
    <w:rsid w:val="003D7808"/>
    <w:rsid w:val="003E0C36"/>
    <w:rsid w:val="003E1002"/>
    <w:rsid w:val="003E2C6E"/>
    <w:rsid w:val="003E3074"/>
    <w:rsid w:val="003E577A"/>
    <w:rsid w:val="003E5E8C"/>
    <w:rsid w:val="003F0032"/>
    <w:rsid w:val="003F08DB"/>
    <w:rsid w:val="003F10AE"/>
    <w:rsid w:val="003F172D"/>
    <w:rsid w:val="003F245D"/>
    <w:rsid w:val="003F27E9"/>
    <w:rsid w:val="003F342A"/>
    <w:rsid w:val="003F37AF"/>
    <w:rsid w:val="003F74FC"/>
    <w:rsid w:val="004005E9"/>
    <w:rsid w:val="00400A54"/>
    <w:rsid w:val="00402CC0"/>
    <w:rsid w:val="004037C0"/>
    <w:rsid w:val="00403F0C"/>
    <w:rsid w:val="004058FC"/>
    <w:rsid w:val="0040652F"/>
    <w:rsid w:val="00407B25"/>
    <w:rsid w:val="004103EF"/>
    <w:rsid w:val="00411C0F"/>
    <w:rsid w:val="0041542E"/>
    <w:rsid w:val="00416397"/>
    <w:rsid w:val="00417496"/>
    <w:rsid w:val="00417CE4"/>
    <w:rsid w:val="00417DE4"/>
    <w:rsid w:val="004202CE"/>
    <w:rsid w:val="00422381"/>
    <w:rsid w:val="00422E36"/>
    <w:rsid w:val="004244CA"/>
    <w:rsid w:val="00425584"/>
    <w:rsid w:val="00425EE9"/>
    <w:rsid w:val="004264DC"/>
    <w:rsid w:val="004270EB"/>
    <w:rsid w:val="004300A7"/>
    <w:rsid w:val="00430D0D"/>
    <w:rsid w:val="00430E7D"/>
    <w:rsid w:val="0043112B"/>
    <w:rsid w:val="00431BC7"/>
    <w:rsid w:val="0043300D"/>
    <w:rsid w:val="004330F4"/>
    <w:rsid w:val="00435272"/>
    <w:rsid w:val="0043741D"/>
    <w:rsid w:val="00437680"/>
    <w:rsid w:val="004376A0"/>
    <w:rsid w:val="00440653"/>
    <w:rsid w:val="00440718"/>
    <w:rsid w:val="004410D8"/>
    <w:rsid w:val="00441A14"/>
    <w:rsid w:val="0044229E"/>
    <w:rsid w:val="00443C57"/>
    <w:rsid w:val="004449F6"/>
    <w:rsid w:val="00444DED"/>
    <w:rsid w:val="00444E8D"/>
    <w:rsid w:val="004453FF"/>
    <w:rsid w:val="004503E6"/>
    <w:rsid w:val="00451115"/>
    <w:rsid w:val="004526E8"/>
    <w:rsid w:val="00454BB2"/>
    <w:rsid w:val="004558EF"/>
    <w:rsid w:val="004577B6"/>
    <w:rsid w:val="00460392"/>
    <w:rsid w:val="0046040D"/>
    <w:rsid w:val="0046069A"/>
    <w:rsid w:val="004606D5"/>
    <w:rsid w:val="00460E80"/>
    <w:rsid w:val="00461C85"/>
    <w:rsid w:val="00463363"/>
    <w:rsid w:val="004640D6"/>
    <w:rsid w:val="00465B3A"/>
    <w:rsid w:val="004669B2"/>
    <w:rsid w:val="00470862"/>
    <w:rsid w:val="00471E90"/>
    <w:rsid w:val="0047220E"/>
    <w:rsid w:val="00472446"/>
    <w:rsid w:val="004741E1"/>
    <w:rsid w:val="004744BF"/>
    <w:rsid w:val="0047497D"/>
    <w:rsid w:val="00475B90"/>
    <w:rsid w:val="00475F4B"/>
    <w:rsid w:val="00476D39"/>
    <w:rsid w:val="00477AF2"/>
    <w:rsid w:val="0048183A"/>
    <w:rsid w:val="00481E82"/>
    <w:rsid w:val="004826A8"/>
    <w:rsid w:val="004857BD"/>
    <w:rsid w:val="0048599E"/>
    <w:rsid w:val="00486784"/>
    <w:rsid w:val="00487EC1"/>
    <w:rsid w:val="00490153"/>
    <w:rsid w:val="00490BDA"/>
    <w:rsid w:val="0049154D"/>
    <w:rsid w:val="00491E32"/>
    <w:rsid w:val="00492C71"/>
    <w:rsid w:val="00493676"/>
    <w:rsid w:val="00493E8C"/>
    <w:rsid w:val="00493F04"/>
    <w:rsid w:val="004947FD"/>
    <w:rsid w:val="004A3B89"/>
    <w:rsid w:val="004A40C3"/>
    <w:rsid w:val="004A73DD"/>
    <w:rsid w:val="004B1E61"/>
    <w:rsid w:val="004B35DA"/>
    <w:rsid w:val="004B52EE"/>
    <w:rsid w:val="004B5F6F"/>
    <w:rsid w:val="004B67C6"/>
    <w:rsid w:val="004B7A00"/>
    <w:rsid w:val="004B7E11"/>
    <w:rsid w:val="004C1354"/>
    <w:rsid w:val="004C272F"/>
    <w:rsid w:val="004C3B2E"/>
    <w:rsid w:val="004C3F05"/>
    <w:rsid w:val="004C4517"/>
    <w:rsid w:val="004C5777"/>
    <w:rsid w:val="004C64B8"/>
    <w:rsid w:val="004C68A6"/>
    <w:rsid w:val="004D038D"/>
    <w:rsid w:val="004D0394"/>
    <w:rsid w:val="004D092B"/>
    <w:rsid w:val="004D100A"/>
    <w:rsid w:val="004D11CD"/>
    <w:rsid w:val="004D1618"/>
    <w:rsid w:val="004D1774"/>
    <w:rsid w:val="004D19F7"/>
    <w:rsid w:val="004D4997"/>
    <w:rsid w:val="004D57BB"/>
    <w:rsid w:val="004D57FE"/>
    <w:rsid w:val="004D5CD9"/>
    <w:rsid w:val="004D7B11"/>
    <w:rsid w:val="004E269E"/>
    <w:rsid w:val="004E2C92"/>
    <w:rsid w:val="004E3264"/>
    <w:rsid w:val="004E3407"/>
    <w:rsid w:val="004E348E"/>
    <w:rsid w:val="004E402C"/>
    <w:rsid w:val="004E48F8"/>
    <w:rsid w:val="004E5D98"/>
    <w:rsid w:val="004E68F4"/>
    <w:rsid w:val="004F0007"/>
    <w:rsid w:val="004F0A72"/>
    <w:rsid w:val="004F174C"/>
    <w:rsid w:val="004F279E"/>
    <w:rsid w:val="004F4569"/>
    <w:rsid w:val="005008E4"/>
    <w:rsid w:val="00501596"/>
    <w:rsid w:val="00501EF7"/>
    <w:rsid w:val="00502996"/>
    <w:rsid w:val="005037A9"/>
    <w:rsid w:val="00503A7D"/>
    <w:rsid w:val="0050604E"/>
    <w:rsid w:val="005068DC"/>
    <w:rsid w:val="00506B55"/>
    <w:rsid w:val="0051033A"/>
    <w:rsid w:val="00510417"/>
    <w:rsid w:val="00511CBA"/>
    <w:rsid w:val="005128B3"/>
    <w:rsid w:val="00514C5A"/>
    <w:rsid w:val="00514C6D"/>
    <w:rsid w:val="0051527B"/>
    <w:rsid w:val="005159B1"/>
    <w:rsid w:val="00515F20"/>
    <w:rsid w:val="005176D0"/>
    <w:rsid w:val="00517E95"/>
    <w:rsid w:val="005212EE"/>
    <w:rsid w:val="00523A4A"/>
    <w:rsid w:val="00523C94"/>
    <w:rsid w:val="00523E1F"/>
    <w:rsid w:val="00524936"/>
    <w:rsid w:val="005271B0"/>
    <w:rsid w:val="005301D8"/>
    <w:rsid w:val="005320DD"/>
    <w:rsid w:val="00533DE6"/>
    <w:rsid w:val="00534C40"/>
    <w:rsid w:val="00534FB6"/>
    <w:rsid w:val="00541ACE"/>
    <w:rsid w:val="005424AA"/>
    <w:rsid w:val="00543075"/>
    <w:rsid w:val="00543948"/>
    <w:rsid w:val="0054410F"/>
    <w:rsid w:val="00544B6E"/>
    <w:rsid w:val="005465DC"/>
    <w:rsid w:val="00550EC8"/>
    <w:rsid w:val="005512C0"/>
    <w:rsid w:val="00551FA7"/>
    <w:rsid w:val="005523BB"/>
    <w:rsid w:val="005525E1"/>
    <w:rsid w:val="005525F4"/>
    <w:rsid w:val="00552D5F"/>
    <w:rsid w:val="00553238"/>
    <w:rsid w:val="0055329E"/>
    <w:rsid w:val="00555383"/>
    <w:rsid w:val="00555657"/>
    <w:rsid w:val="0055709E"/>
    <w:rsid w:val="005571A8"/>
    <w:rsid w:val="005573EB"/>
    <w:rsid w:val="00557697"/>
    <w:rsid w:val="0055786F"/>
    <w:rsid w:val="0055797A"/>
    <w:rsid w:val="005609C8"/>
    <w:rsid w:val="005609EF"/>
    <w:rsid w:val="005612E4"/>
    <w:rsid w:val="005613B5"/>
    <w:rsid w:val="005654F7"/>
    <w:rsid w:val="0056740D"/>
    <w:rsid w:val="005731F7"/>
    <w:rsid w:val="00575227"/>
    <w:rsid w:val="005777F5"/>
    <w:rsid w:val="0057793F"/>
    <w:rsid w:val="00581F4F"/>
    <w:rsid w:val="005826FC"/>
    <w:rsid w:val="005829AF"/>
    <w:rsid w:val="00584784"/>
    <w:rsid w:val="00584B54"/>
    <w:rsid w:val="00585B01"/>
    <w:rsid w:val="005869AB"/>
    <w:rsid w:val="00590136"/>
    <w:rsid w:val="00590D81"/>
    <w:rsid w:val="00592BF0"/>
    <w:rsid w:val="00592E4F"/>
    <w:rsid w:val="00593169"/>
    <w:rsid w:val="005932FC"/>
    <w:rsid w:val="00593469"/>
    <w:rsid w:val="00594A0F"/>
    <w:rsid w:val="00596243"/>
    <w:rsid w:val="00596AF2"/>
    <w:rsid w:val="00596B6D"/>
    <w:rsid w:val="00596F56"/>
    <w:rsid w:val="0059708D"/>
    <w:rsid w:val="00597D84"/>
    <w:rsid w:val="005A0406"/>
    <w:rsid w:val="005A123F"/>
    <w:rsid w:val="005A177B"/>
    <w:rsid w:val="005A24A6"/>
    <w:rsid w:val="005A2718"/>
    <w:rsid w:val="005A2CE8"/>
    <w:rsid w:val="005A34E5"/>
    <w:rsid w:val="005A565D"/>
    <w:rsid w:val="005A6103"/>
    <w:rsid w:val="005A6F6A"/>
    <w:rsid w:val="005A7297"/>
    <w:rsid w:val="005A7FCA"/>
    <w:rsid w:val="005B37B2"/>
    <w:rsid w:val="005B3A7C"/>
    <w:rsid w:val="005B3E67"/>
    <w:rsid w:val="005B525E"/>
    <w:rsid w:val="005B59CA"/>
    <w:rsid w:val="005B5BDB"/>
    <w:rsid w:val="005B5F23"/>
    <w:rsid w:val="005C08CC"/>
    <w:rsid w:val="005C11A1"/>
    <w:rsid w:val="005C26B6"/>
    <w:rsid w:val="005C2D61"/>
    <w:rsid w:val="005C38C0"/>
    <w:rsid w:val="005C7789"/>
    <w:rsid w:val="005D22AD"/>
    <w:rsid w:val="005D27A5"/>
    <w:rsid w:val="005D29EF"/>
    <w:rsid w:val="005D2A2D"/>
    <w:rsid w:val="005D3030"/>
    <w:rsid w:val="005D357D"/>
    <w:rsid w:val="005D5867"/>
    <w:rsid w:val="005D6FB4"/>
    <w:rsid w:val="005D7411"/>
    <w:rsid w:val="005E14D9"/>
    <w:rsid w:val="005E213E"/>
    <w:rsid w:val="005E39A2"/>
    <w:rsid w:val="005E441B"/>
    <w:rsid w:val="005E4C95"/>
    <w:rsid w:val="005E4FA6"/>
    <w:rsid w:val="005E5E1A"/>
    <w:rsid w:val="005E6B4D"/>
    <w:rsid w:val="005E6C50"/>
    <w:rsid w:val="005E7FBC"/>
    <w:rsid w:val="005F0175"/>
    <w:rsid w:val="005F264E"/>
    <w:rsid w:val="005F314E"/>
    <w:rsid w:val="005F3C3C"/>
    <w:rsid w:val="005F440F"/>
    <w:rsid w:val="005F6D52"/>
    <w:rsid w:val="005F7319"/>
    <w:rsid w:val="005F7D58"/>
    <w:rsid w:val="00600CE3"/>
    <w:rsid w:val="006017A9"/>
    <w:rsid w:val="00602EAE"/>
    <w:rsid w:val="00603F77"/>
    <w:rsid w:val="006052B4"/>
    <w:rsid w:val="00607433"/>
    <w:rsid w:val="00607502"/>
    <w:rsid w:val="00607E7F"/>
    <w:rsid w:val="006101D4"/>
    <w:rsid w:val="00610686"/>
    <w:rsid w:val="0061151C"/>
    <w:rsid w:val="00612031"/>
    <w:rsid w:val="006136CF"/>
    <w:rsid w:val="006139EC"/>
    <w:rsid w:val="00613DC7"/>
    <w:rsid w:val="00615A1B"/>
    <w:rsid w:val="00616B0A"/>
    <w:rsid w:val="006171D7"/>
    <w:rsid w:val="00620D52"/>
    <w:rsid w:val="00621735"/>
    <w:rsid w:val="00623AFE"/>
    <w:rsid w:val="00623BA7"/>
    <w:rsid w:val="00625810"/>
    <w:rsid w:val="006268E5"/>
    <w:rsid w:val="00626BAB"/>
    <w:rsid w:val="00626E54"/>
    <w:rsid w:val="00627B0B"/>
    <w:rsid w:val="00633075"/>
    <w:rsid w:val="00634C38"/>
    <w:rsid w:val="006366B7"/>
    <w:rsid w:val="006375CC"/>
    <w:rsid w:val="00643908"/>
    <w:rsid w:val="00643FDA"/>
    <w:rsid w:val="0064450D"/>
    <w:rsid w:val="0064678B"/>
    <w:rsid w:val="00646CFD"/>
    <w:rsid w:val="00647E07"/>
    <w:rsid w:val="006507A2"/>
    <w:rsid w:val="0065180E"/>
    <w:rsid w:val="006521CA"/>
    <w:rsid w:val="0065304E"/>
    <w:rsid w:val="00653DBA"/>
    <w:rsid w:val="00653E15"/>
    <w:rsid w:val="00654B48"/>
    <w:rsid w:val="00654FF7"/>
    <w:rsid w:val="006554B4"/>
    <w:rsid w:val="00657E39"/>
    <w:rsid w:val="006602D9"/>
    <w:rsid w:val="006608E9"/>
    <w:rsid w:val="00660DA5"/>
    <w:rsid w:val="006623E2"/>
    <w:rsid w:val="00662472"/>
    <w:rsid w:val="006637D5"/>
    <w:rsid w:val="00667936"/>
    <w:rsid w:val="0067039C"/>
    <w:rsid w:val="0067041C"/>
    <w:rsid w:val="0067155D"/>
    <w:rsid w:val="00672789"/>
    <w:rsid w:val="006729E8"/>
    <w:rsid w:val="00673CE6"/>
    <w:rsid w:val="0067578C"/>
    <w:rsid w:val="006768D9"/>
    <w:rsid w:val="006778B1"/>
    <w:rsid w:val="0068019D"/>
    <w:rsid w:val="006816C2"/>
    <w:rsid w:val="0068225D"/>
    <w:rsid w:val="00683B12"/>
    <w:rsid w:val="00683DED"/>
    <w:rsid w:val="0068406C"/>
    <w:rsid w:val="006843FE"/>
    <w:rsid w:val="00684771"/>
    <w:rsid w:val="006867E2"/>
    <w:rsid w:val="00687264"/>
    <w:rsid w:val="00691A61"/>
    <w:rsid w:val="00692194"/>
    <w:rsid w:val="006924CC"/>
    <w:rsid w:val="00694FDC"/>
    <w:rsid w:val="00695820"/>
    <w:rsid w:val="006978F7"/>
    <w:rsid w:val="006A0C6C"/>
    <w:rsid w:val="006A4BCC"/>
    <w:rsid w:val="006A6D81"/>
    <w:rsid w:val="006A7883"/>
    <w:rsid w:val="006B0023"/>
    <w:rsid w:val="006B00AC"/>
    <w:rsid w:val="006B180D"/>
    <w:rsid w:val="006B1DF0"/>
    <w:rsid w:val="006B218D"/>
    <w:rsid w:val="006B36D5"/>
    <w:rsid w:val="006B43C1"/>
    <w:rsid w:val="006B48F8"/>
    <w:rsid w:val="006B4C7E"/>
    <w:rsid w:val="006B56F4"/>
    <w:rsid w:val="006B5F24"/>
    <w:rsid w:val="006B7B79"/>
    <w:rsid w:val="006B7FA8"/>
    <w:rsid w:val="006C06EE"/>
    <w:rsid w:val="006C0EFE"/>
    <w:rsid w:val="006C2A45"/>
    <w:rsid w:val="006C5BD1"/>
    <w:rsid w:val="006C6D77"/>
    <w:rsid w:val="006C7E90"/>
    <w:rsid w:val="006D140B"/>
    <w:rsid w:val="006D15CB"/>
    <w:rsid w:val="006D1F32"/>
    <w:rsid w:val="006D2D13"/>
    <w:rsid w:val="006D3690"/>
    <w:rsid w:val="006D4BDA"/>
    <w:rsid w:val="006D56AD"/>
    <w:rsid w:val="006D5790"/>
    <w:rsid w:val="006D58C2"/>
    <w:rsid w:val="006D5C4F"/>
    <w:rsid w:val="006D5DB9"/>
    <w:rsid w:val="006D5FE7"/>
    <w:rsid w:val="006E1159"/>
    <w:rsid w:val="006E1D6D"/>
    <w:rsid w:val="006E2247"/>
    <w:rsid w:val="006E2695"/>
    <w:rsid w:val="006E270B"/>
    <w:rsid w:val="006E346C"/>
    <w:rsid w:val="006E3480"/>
    <w:rsid w:val="006E3583"/>
    <w:rsid w:val="006E65B4"/>
    <w:rsid w:val="006F0F4B"/>
    <w:rsid w:val="006F1079"/>
    <w:rsid w:val="006F1A6F"/>
    <w:rsid w:val="006F2964"/>
    <w:rsid w:val="006F398C"/>
    <w:rsid w:val="006F4AD9"/>
    <w:rsid w:val="006F5386"/>
    <w:rsid w:val="006F53B5"/>
    <w:rsid w:val="006F6AF2"/>
    <w:rsid w:val="006F7543"/>
    <w:rsid w:val="0070118D"/>
    <w:rsid w:val="007012F7"/>
    <w:rsid w:val="00701700"/>
    <w:rsid w:val="00701E49"/>
    <w:rsid w:val="0070223E"/>
    <w:rsid w:val="00704C3B"/>
    <w:rsid w:val="00706229"/>
    <w:rsid w:val="007066C4"/>
    <w:rsid w:val="00706D40"/>
    <w:rsid w:val="00710011"/>
    <w:rsid w:val="007101A6"/>
    <w:rsid w:val="00711195"/>
    <w:rsid w:val="0071369D"/>
    <w:rsid w:val="00713EB7"/>
    <w:rsid w:val="00714754"/>
    <w:rsid w:val="00715F68"/>
    <w:rsid w:val="00716EC1"/>
    <w:rsid w:val="0071790A"/>
    <w:rsid w:val="00717ED9"/>
    <w:rsid w:val="007221E7"/>
    <w:rsid w:val="00722A5E"/>
    <w:rsid w:val="0072470F"/>
    <w:rsid w:val="00725D49"/>
    <w:rsid w:val="007300FC"/>
    <w:rsid w:val="007309DC"/>
    <w:rsid w:val="00731661"/>
    <w:rsid w:val="007336F8"/>
    <w:rsid w:val="007358FC"/>
    <w:rsid w:val="007373F3"/>
    <w:rsid w:val="00737DED"/>
    <w:rsid w:val="00740EAE"/>
    <w:rsid w:val="00742632"/>
    <w:rsid w:val="007431CF"/>
    <w:rsid w:val="007451A3"/>
    <w:rsid w:val="00747242"/>
    <w:rsid w:val="00747933"/>
    <w:rsid w:val="00747D92"/>
    <w:rsid w:val="007504EB"/>
    <w:rsid w:val="00750D30"/>
    <w:rsid w:val="00752FA2"/>
    <w:rsid w:val="00753064"/>
    <w:rsid w:val="00753E70"/>
    <w:rsid w:val="00753EA8"/>
    <w:rsid w:val="00754018"/>
    <w:rsid w:val="00754173"/>
    <w:rsid w:val="00755AAE"/>
    <w:rsid w:val="00760A98"/>
    <w:rsid w:val="0076316C"/>
    <w:rsid w:val="00763855"/>
    <w:rsid w:val="0076519D"/>
    <w:rsid w:val="00765C20"/>
    <w:rsid w:val="00766120"/>
    <w:rsid w:val="00767162"/>
    <w:rsid w:val="00770F4D"/>
    <w:rsid w:val="00772203"/>
    <w:rsid w:val="0077235E"/>
    <w:rsid w:val="00773B3D"/>
    <w:rsid w:val="00773ED2"/>
    <w:rsid w:val="007745EE"/>
    <w:rsid w:val="00774CD1"/>
    <w:rsid w:val="00775E35"/>
    <w:rsid w:val="00775F56"/>
    <w:rsid w:val="00780CB8"/>
    <w:rsid w:val="00780F57"/>
    <w:rsid w:val="00780F8F"/>
    <w:rsid w:val="0078277A"/>
    <w:rsid w:val="0078328F"/>
    <w:rsid w:val="0078338E"/>
    <w:rsid w:val="007848B6"/>
    <w:rsid w:val="00785D07"/>
    <w:rsid w:val="007867FE"/>
    <w:rsid w:val="00786D9C"/>
    <w:rsid w:val="00787042"/>
    <w:rsid w:val="0078745D"/>
    <w:rsid w:val="00787731"/>
    <w:rsid w:val="0079146B"/>
    <w:rsid w:val="007919F6"/>
    <w:rsid w:val="00791FBF"/>
    <w:rsid w:val="00794FB2"/>
    <w:rsid w:val="0079610F"/>
    <w:rsid w:val="00796B4F"/>
    <w:rsid w:val="00797517"/>
    <w:rsid w:val="007A1240"/>
    <w:rsid w:val="007A19A6"/>
    <w:rsid w:val="007A284D"/>
    <w:rsid w:val="007A2866"/>
    <w:rsid w:val="007A35A8"/>
    <w:rsid w:val="007A3C61"/>
    <w:rsid w:val="007A5E28"/>
    <w:rsid w:val="007A78CC"/>
    <w:rsid w:val="007B0E8E"/>
    <w:rsid w:val="007B14DC"/>
    <w:rsid w:val="007B1A0E"/>
    <w:rsid w:val="007B252A"/>
    <w:rsid w:val="007B4530"/>
    <w:rsid w:val="007B55DE"/>
    <w:rsid w:val="007B5754"/>
    <w:rsid w:val="007C1495"/>
    <w:rsid w:val="007C2604"/>
    <w:rsid w:val="007C289A"/>
    <w:rsid w:val="007C2FA9"/>
    <w:rsid w:val="007C3E2F"/>
    <w:rsid w:val="007D0E5B"/>
    <w:rsid w:val="007D1530"/>
    <w:rsid w:val="007D2F58"/>
    <w:rsid w:val="007D330C"/>
    <w:rsid w:val="007D479D"/>
    <w:rsid w:val="007D53B2"/>
    <w:rsid w:val="007D5AE8"/>
    <w:rsid w:val="007D6281"/>
    <w:rsid w:val="007D66E6"/>
    <w:rsid w:val="007D6745"/>
    <w:rsid w:val="007D69C9"/>
    <w:rsid w:val="007D6F93"/>
    <w:rsid w:val="007D706E"/>
    <w:rsid w:val="007D70A4"/>
    <w:rsid w:val="007E0052"/>
    <w:rsid w:val="007E0FDE"/>
    <w:rsid w:val="007E1653"/>
    <w:rsid w:val="007E1DA3"/>
    <w:rsid w:val="007E2308"/>
    <w:rsid w:val="007E367A"/>
    <w:rsid w:val="007E66E2"/>
    <w:rsid w:val="007E78AA"/>
    <w:rsid w:val="007F140A"/>
    <w:rsid w:val="007F190F"/>
    <w:rsid w:val="007F1A8A"/>
    <w:rsid w:val="007F1CDD"/>
    <w:rsid w:val="007F26A9"/>
    <w:rsid w:val="007F29E6"/>
    <w:rsid w:val="007F3600"/>
    <w:rsid w:val="007F759F"/>
    <w:rsid w:val="00800128"/>
    <w:rsid w:val="00800652"/>
    <w:rsid w:val="00803385"/>
    <w:rsid w:val="00803989"/>
    <w:rsid w:val="00803E47"/>
    <w:rsid w:val="008043FE"/>
    <w:rsid w:val="008048AE"/>
    <w:rsid w:val="00804E31"/>
    <w:rsid w:val="00804EF0"/>
    <w:rsid w:val="008052FD"/>
    <w:rsid w:val="008053CC"/>
    <w:rsid w:val="00805602"/>
    <w:rsid w:val="008062D9"/>
    <w:rsid w:val="008073AA"/>
    <w:rsid w:val="00807856"/>
    <w:rsid w:val="00807F36"/>
    <w:rsid w:val="00815398"/>
    <w:rsid w:val="00816849"/>
    <w:rsid w:val="00821105"/>
    <w:rsid w:val="00823A70"/>
    <w:rsid w:val="00823ED6"/>
    <w:rsid w:val="00824331"/>
    <w:rsid w:val="00825DEF"/>
    <w:rsid w:val="00825EBD"/>
    <w:rsid w:val="00826645"/>
    <w:rsid w:val="00827052"/>
    <w:rsid w:val="008317E8"/>
    <w:rsid w:val="00831DDD"/>
    <w:rsid w:val="00831E53"/>
    <w:rsid w:val="00832189"/>
    <w:rsid w:val="00832BC8"/>
    <w:rsid w:val="008334F4"/>
    <w:rsid w:val="008335DC"/>
    <w:rsid w:val="0083387E"/>
    <w:rsid w:val="0083388C"/>
    <w:rsid w:val="008340CB"/>
    <w:rsid w:val="008341E6"/>
    <w:rsid w:val="008349E2"/>
    <w:rsid w:val="00835531"/>
    <w:rsid w:val="0083561B"/>
    <w:rsid w:val="008360F0"/>
    <w:rsid w:val="00840DC0"/>
    <w:rsid w:val="00842545"/>
    <w:rsid w:val="008425B2"/>
    <w:rsid w:val="0084351F"/>
    <w:rsid w:val="00843F39"/>
    <w:rsid w:val="00844D93"/>
    <w:rsid w:val="00844DC4"/>
    <w:rsid w:val="00845CFF"/>
    <w:rsid w:val="0084622C"/>
    <w:rsid w:val="008474FE"/>
    <w:rsid w:val="00847700"/>
    <w:rsid w:val="008502B1"/>
    <w:rsid w:val="00850576"/>
    <w:rsid w:val="00850D5B"/>
    <w:rsid w:val="00851058"/>
    <w:rsid w:val="00851D9C"/>
    <w:rsid w:val="00853C35"/>
    <w:rsid w:val="008561B8"/>
    <w:rsid w:val="00856384"/>
    <w:rsid w:val="00860970"/>
    <w:rsid w:val="00862BB5"/>
    <w:rsid w:val="0086381D"/>
    <w:rsid w:val="00864850"/>
    <w:rsid w:val="00864B1B"/>
    <w:rsid w:val="00865992"/>
    <w:rsid w:val="00866101"/>
    <w:rsid w:val="00866977"/>
    <w:rsid w:val="00866A0F"/>
    <w:rsid w:val="00866C3D"/>
    <w:rsid w:val="00867A25"/>
    <w:rsid w:val="00867C8C"/>
    <w:rsid w:val="00872CBE"/>
    <w:rsid w:val="008739A0"/>
    <w:rsid w:val="00874D04"/>
    <w:rsid w:val="00875554"/>
    <w:rsid w:val="00876066"/>
    <w:rsid w:val="00876168"/>
    <w:rsid w:val="008765A1"/>
    <w:rsid w:val="00876D15"/>
    <w:rsid w:val="00876D50"/>
    <w:rsid w:val="00880FE7"/>
    <w:rsid w:val="0088134D"/>
    <w:rsid w:val="00881A0E"/>
    <w:rsid w:val="00881C2B"/>
    <w:rsid w:val="008836E9"/>
    <w:rsid w:val="00883A1E"/>
    <w:rsid w:val="00883EFC"/>
    <w:rsid w:val="008847C3"/>
    <w:rsid w:val="00884F18"/>
    <w:rsid w:val="00885DAD"/>
    <w:rsid w:val="0089008F"/>
    <w:rsid w:val="0089284C"/>
    <w:rsid w:val="008936A5"/>
    <w:rsid w:val="00895950"/>
    <w:rsid w:val="00896D5A"/>
    <w:rsid w:val="00896D6D"/>
    <w:rsid w:val="00897254"/>
    <w:rsid w:val="008A27F7"/>
    <w:rsid w:val="008A3487"/>
    <w:rsid w:val="008A3949"/>
    <w:rsid w:val="008A3F85"/>
    <w:rsid w:val="008A4133"/>
    <w:rsid w:val="008A44F1"/>
    <w:rsid w:val="008A46E7"/>
    <w:rsid w:val="008A494A"/>
    <w:rsid w:val="008A6650"/>
    <w:rsid w:val="008B052F"/>
    <w:rsid w:val="008B0B54"/>
    <w:rsid w:val="008B189C"/>
    <w:rsid w:val="008B4ACF"/>
    <w:rsid w:val="008B5527"/>
    <w:rsid w:val="008B5FB4"/>
    <w:rsid w:val="008B672E"/>
    <w:rsid w:val="008B6798"/>
    <w:rsid w:val="008B71CC"/>
    <w:rsid w:val="008B7554"/>
    <w:rsid w:val="008C01DD"/>
    <w:rsid w:val="008C0EA2"/>
    <w:rsid w:val="008C18D9"/>
    <w:rsid w:val="008C2A8F"/>
    <w:rsid w:val="008C37A9"/>
    <w:rsid w:val="008C4E2C"/>
    <w:rsid w:val="008C4F78"/>
    <w:rsid w:val="008C5B25"/>
    <w:rsid w:val="008C5BC5"/>
    <w:rsid w:val="008C5E53"/>
    <w:rsid w:val="008C713B"/>
    <w:rsid w:val="008C7D02"/>
    <w:rsid w:val="008D0998"/>
    <w:rsid w:val="008D1995"/>
    <w:rsid w:val="008D2E1B"/>
    <w:rsid w:val="008D3737"/>
    <w:rsid w:val="008D52C9"/>
    <w:rsid w:val="008D66CB"/>
    <w:rsid w:val="008D6E78"/>
    <w:rsid w:val="008D757C"/>
    <w:rsid w:val="008E1889"/>
    <w:rsid w:val="008E214F"/>
    <w:rsid w:val="008E222F"/>
    <w:rsid w:val="008E2714"/>
    <w:rsid w:val="008E2C25"/>
    <w:rsid w:val="008E442C"/>
    <w:rsid w:val="008E6B5A"/>
    <w:rsid w:val="008E6D5A"/>
    <w:rsid w:val="008E7520"/>
    <w:rsid w:val="008F1C3C"/>
    <w:rsid w:val="008F56BB"/>
    <w:rsid w:val="008F5834"/>
    <w:rsid w:val="008F7553"/>
    <w:rsid w:val="00901471"/>
    <w:rsid w:val="009022AB"/>
    <w:rsid w:val="009055C1"/>
    <w:rsid w:val="009059C7"/>
    <w:rsid w:val="00905CBE"/>
    <w:rsid w:val="00905FDE"/>
    <w:rsid w:val="00906913"/>
    <w:rsid w:val="00907FB1"/>
    <w:rsid w:val="00911C44"/>
    <w:rsid w:val="009128A5"/>
    <w:rsid w:val="00912F90"/>
    <w:rsid w:val="00913B3E"/>
    <w:rsid w:val="009145D6"/>
    <w:rsid w:val="0091541B"/>
    <w:rsid w:val="00916217"/>
    <w:rsid w:val="009172D2"/>
    <w:rsid w:val="00917681"/>
    <w:rsid w:val="0092163C"/>
    <w:rsid w:val="00921A5F"/>
    <w:rsid w:val="00921DDE"/>
    <w:rsid w:val="00923BD4"/>
    <w:rsid w:val="00925521"/>
    <w:rsid w:val="00927B9C"/>
    <w:rsid w:val="0093062F"/>
    <w:rsid w:val="00931824"/>
    <w:rsid w:val="00931BE7"/>
    <w:rsid w:val="009321C3"/>
    <w:rsid w:val="00932A2F"/>
    <w:rsid w:val="00933BEB"/>
    <w:rsid w:val="00933C89"/>
    <w:rsid w:val="00934028"/>
    <w:rsid w:val="00934B3F"/>
    <w:rsid w:val="00934FF4"/>
    <w:rsid w:val="0093627E"/>
    <w:rsid w:val="009368AC"/>
    <w:rsid w:val="009374D8"/>
    <w:rsid w:val="009435EC"/>
    <w:rsid w:val="00943EB6"/>
    <w:rsid w:val="00943EBE"/>
    <w:rsid w:val="009441C3"/>
    <w:rsid w:val="00945547"/>
    <w:rsid w:val="009464B9"/>
    <w:rsid w:val="00946DB1"/>
    <w:rsid w:val="00947389"/>
    <w:rsid w:val="009479A2"/>
    <w:rsid w:val="009479B1"/>
    <w:rsid w:val="00947F9A"/>
    <w:rsid w:val="0095090D"/>
    <w:rsid w:val="0095292A"/>
    <w:rsid w:val="00952CEE"/>
    <w:rsid w:val="00954147"/>
    <w:rsid w:val="00954B3E"/>
    <w:rsid w:val="00954F1A"/>
    <w:rsid w:val="00954F90"/>
    <w:rsid w:val="0095620B"/>
    <w:rsid w:val="009566BB"/>
    <w:rsid w:val="0095686F"/>
    <w:rsid w:val="00957420"/>
    <w:rsid w:val="0096061E"/>
    <w:rsid w:val="009650DE"/>
    <w:rsid w:val="00965390"/>
    <w:rsid w:val="0096576B"/>
    <w:rsid w:val="009664AA"/>
    <w:rsid w:val="009709CB"/>
    <w:rsid w:val="0097117C"/>
    <w:rsid w:val="0097200B"/>
    <w:rsid w:val="00972177"/>
    <w:rsid w:val="00972452"/>
    <w:rsid w:val="0097278A"/>
    <w:rsid w:val="00973838"/>
    <w:rsid w:val="00974438"/>
    <w:rsid w:val="00974F0F"/>
    <w:rsid w:val="00975B59"/>
    <w:rsid w:val="00975CF9"/>
    <w:rsid w:val="00976660"/>
    <w:rsid w:val="00976FAD"/>
    <w:rsid w:val="00977051"/>
    <w:rsid w:val="00977518"/>
    <w:rsid w:val="0097784D"/>
    <w:rsid w:val="00977E43"/>
    <w:rsid w:val="00980593"/>
    <w:rsid w:val="00980EC2"/>
    <w:rsid w:val="00981BA7"/>
    <w:rsid w:val="00985758"/>
    <w:rsid w:val="009857D0"/>
    <w:rsid w:val="00985979"/>
    <w:rsid w:val="00985A9F"/>
    <w:rsid w:val="00985C4C"/>
    <w:rsid w:val="00985CAB"/>
    <w:rsid w:val="00985F7D"/>
    <w:rsid w:val="009868DB"/>
    <w:rsid w:val="00986F5C"/>
    <w:rsid w:val="0098771F"/>
    <w:rsid w:val="00991ED3"/>
    <w:rsid w:val="00992072"/>
    <w:rsid w:val="009926C4"/>
    <w:rsid w:val="0099317E"/>
    <w:rsid w:val="009932C7"/>
    <w:rsid w:val="00993D84"/>
    <w:rsid w:val="0099463F"/>
    <w:rsid w:val="00994775"/>
    <w:rsid w:val="00994CA4"/>
    <w:rsid w:val="00994F71"/>
    <w:rsid w:val="00995065"/>
    <w:rsid w:val="0099582D"/>
    <w:rsid w:val="00996027"/>
    <w:rsid w:val="009971C6"/>
    <w:rsid w:val="009975BD"/>
    <w:rsid w:val="009976BB"/>
    <w:rsid w:val="009A2B07"/>
    <w:rsid w:val="009A3DC8"/>
    <w:rsid w:val="009A3E57"/>
    <w:rsid w:val="009A3E98"/>
    <w:rsid w:val="009A432B"/>
    <w:rsid w:val="009B00EF"/>
    <w:rsid w:val="009B0DE2"/>
    <w:rsid w:val="009B111D"/>
    <w:rsid w:val="009B1210"/>
    <w:rsid w:val="009B165C"/>
    <w:rsid w:val="009B369F"/>
    <w:rsid w:val="009B5FCE"/>
    <w:rsid w:val="009B6621"/>
    <w:rsid w:val="009B74FD"/>
    <w:rsid w:val="009C1573"/>
    <w:rsid w:val="009C1ABD"/>
    <w:rsid w:val="009C1D15"/>
    <w:rsid w:val="009C3ECF"/>
    <w:rsid w:val="009C68D6"/>
    <w:rsid w:val="009C6D2B"/>
    <w:rsid w:val="009C7471"/>
    <w:rsid w:val="009D0C16"/>
    <w:rsid w:val="009D19A8"/>
    <w:rsid w:val="009D2594"/>
    <w:rsid w:val="009D7757"/>
    <w:rsid w:val="009E046A"/>
    <w:rsid w:val="009E2094"/>
    <w:rsid w:val="009E2A80"/>
    <w:rsid w:val="009E3FAA"/>
    <w:rsid w:val="009E4409"/>
    <w:rsid w:val="009E4EE1"/>
    <w:rsid w:val="009E596E"/>
    <w:rsid w:val="009E5BDA"/>
    <w:rsid w:val="009E7A2C"/>
    <w:rsid w:val="009E7DE3"/>
    <w:rsid w:val="009F1399"/>
    <w:rsid w:val="009F1E12"/>
    <w:rsid w:val="009F20C7"/>
    <w:rsid w:val="009F252A"/>
    <w:rsid w:val="009F32AA"/>
    <w:rsid w:val="009F4871"/>
    <w:rsid w:val="009F4E07"/>
    <w:rsid w:val="009F684C"/>
    <w:rsid w:val="009F73B9"/>
    <w:rsid w:val="00A006C9"/>
    <w:rsid w:val="00A03120"/>
    <w:rsid w:val="00A04C8F"/>
    <w:rsid w:val="00A06FBD"/>
    <w:rsid w:val="00A07B2E"/>
    <w:rsid w:val="00A101A7"/>
    <w:rsid w:val="00A10B43"/>
    <w:rsid w:val="00A10EC0"/>
    <w:rsid w:val="00A12B19"/>
    <w:rsid w:val="00A143A6"/>
    <w:rsid w:val="00A15152"/>
    <w:rsid w:val="00A158CE"/>
    <w:rsid w:val="00A165DA"/>
    <w:rsid w:val="00A1679E"/>
    <w:rsid w:val="00A169F7"/>
    <w:rsid w:val="00A174A8"/>
    <w:rsid w:val="00A20AB2"/>
    <w:rsid w:val="00A21005"/>
    <w:rsid w:val="00A21325"/>
    <w:rsid w:val="00A223FE"/>
    <w:rsid w:val="00A245F8"/>
    <w:rsid w:val="00A24684"/>
    <w:rsid w:val="00A24F77"/>
    <w:rsid w:val="00A25E9B"/>
    <w:rsid w:val="00A261D9"/>
    <w:rsid w:val="00A302A2"/>
    <w:rsid w:val="00A30527"/>
    <w:rsid w:val="00A317F7"/>
    <w:rsid w:val="00A32238"/>
    <w:rsid w:val="00A325FC"/>
    <w:rsid w:val="00A33571"/>
    <w:rsid w:val="00A33936"/>
    <w:rsid w:val="00A35D32"/>
    <w:rsid w:val="00A3628E"/>
    <w:rsid w:val="00A3641C"/>
    <w:rsid w:val="00A36B76"/>
    <w:rsid w:val="00A37E93"/>
    <w:rsid w:val="00A4031D"/>
    <w:rsid w:val="00A421A6"/>
    <w:rsid w:val="00A421E4"/>
    <w:rsid w:val="00A42A20"/>
    <w:rsid w:val="00A476D3"/>
    <w:rsid w:val="00A51E62"/>
    <w:rsid w:val="00A529B8"/>
    <w:rsid w:val="00A53984"/>
    <w:rsid w:val="00A549BE"/>
    <w:rsid w:val="00A5536B"/>
    <w:rsid w:val="00A55821"/>
    <w:rsid w:val="00A56BC2"/>
    <w:rsid w:val="00A6097B"/>
    <w:rsid w:val="00A624E8"/>
    <w:rsid w:val="00A6263E"/>
    <w:rsid w:val="00A63018"/>
    <w:rsid w:val="00A636EA"/>
    <w:rsid w:val="00A63A20"/>
    <w:rsid w:val="00A64774"/>
    <w:rsid w:val="00A64B15"/>
    <w:rsid w:val="00A6589E"/>
    <w:rsid w:val="00A65E25"/>
    <w:rsid w:val="00A6664B"/>
    <w:rsid w:val="00A71323"/>
    <w:rsid w:val="00A719C1"/>
    <w:rsid w:val="00A71F87"/>
    <w:rsid w:val="00A72895"/>
    <w:rsid w:val="00A73227"/>
    <w:rsid w:val="00A73C3B"/>
    <w:rsid w:val="00A74052"/>
    <w:rsid w:val="00A745AF"/>
    <w:rsid w:val="00A7688C"/>
    <w:rsid w:val="00A7731C"/>
    <w:rsid w:val="00A773FE"/>
    <w:rsid w:val="00A81C27"/>
    <w:rsid w:val="00A83C7D"/>
    <w:rsid w:val="00A86A74"/>
    <w:rsid w:val="00A90B88"/>
    <w:rsid w:val="00A92960"/>
    <w:rsid w:val="00A929BC"/>
    <w:rsid w:val="00A93482"/>
    <w:rsid w:val="00A95D09"/>
    <w:rsid w:val="00A96C10"/>
    <w:rsid w:val="00A96F73"/>
    <w:rsid w:val="00A972E7"/>
    <w:rsid w:val="00AA010F"/>
    <w:rsid w:val="00AA0A18"/>
    <w:rsid w:val="00AA0E63"/>
    <w:rsid w:val="00AA0F41"/>
    <w:rsid w:val="00AA36E2"/>
    <w:rsid w:val="00AA58C8"/>
    <w:rsid w:val="00AB0827"/>
    <w:rsid w:val="00AB0E9E"/>
    <w:rsid w:val="00AB1B07"/>
    <w:rsid w:val="00AB2609"/>
    <w:rsid w:val="00AB34EF"/>
    <w:rsid w:val="00AB38DB"/>
    <w:rsid w:val="00AB5209"/>
    <w:rsid w:val="00AB55B2"/>
    <w:rsid w:val="00AB6548"/>
    <w:rsid w:val="00AB7120"/>
    <w:rsid w:val="00AB7593"/>
    <w:rsid w:val="00AB79F4"/>
    <w:rsid w:val="00AC015E"/>
    <w:rsid w:val="00AC0417"/>
    <w:rsid w:val="00AC0512"/>
    <w:rsid w:val="00AC31AF"/>
    <w:rsid w:val="00AC35BB"/>
    <w:rsid w:val="00AC38CB"/>
    <w:rsid w:val="00AC453E"/>
    <w:rsid w:val="00AC543E"/>
    <w:rsid w:val="00AC71EE"/>
    <w:rsid w:val="00AD0881"/>
    <w:rsid w:val="00AD10B6"/>
    <w:rsid w:val="00AD1FD5"/>
    <w:rsid w:val="00AD49B1"/>
    <w:rsid w:val="00AD6BAD"/>
    <w:rsid w:val="00AD6C23"/>
    <w:rsid w:val="00AE20BF"/>
    <w:rsid w:val="00AE2130"/>
    <w:rsid w:val="00AE3328"/>
    <w:rsid w:val="00AE4A75"/>
    <w:rsid w:val="00AE4FC5"/>
    <w:rsid w:val="00AE6824"/>
    <w:rsid w:val="00AE6D0F"/>
    <w:rsid w:val="00AE775B"/>
    <w:rsid w:val="00AE7843"/>
    <w:rsid w:val="00AF10CB"/>
    <w:rsid w:val="00AF2974"/>
    <w:rsid w:val="00AF2FAF"/>
    <w:rsid w:val="00AF413A"/>
    <w:rsid w:val="00AF4C41"/>
    <w:rsid w:val="00B002D7"/>
    <w:rsid w:val="00B00C7A"/>
    <w:rsid w:val="00B01EA2"/>
    <w:rsid w:val="00B040E8"/>
    <w:rsid w:val="00B04566"/>
    <w:rsid w:val="00B07232"/>
    <w:rsid w:val="00B10E9D"/>
    <w:rsid w:val="00B1126A"/>
    <w:rsid w:val="00B114F9"/>
    <w:rsid w:val="00B122AB"/>
    <w:rsid w:val="00B12957"/>
    <w:rsid w:val="00B129E7"/>
    <w:rsid w:val="00B12B1D"/>
    <w:rsid w:val="00B13889"/>
    <w:rsid w:val="00B14E18"/>
    <w:rsid w:val="00B15F95"/>
    <w:rsid w:val="00B16079"/>
    <w:rsid w:val="00B16625"/>
    <w:rsid w:val="00B173B0"/>
    <w:rsid w:val="00B17F7E"/>
    <w:rsid w:val="00B21892"/>
    <w:rsid w:val="00B21F15"/>
    <w:rsid w:val="00B21F55"/>
    <w:rsid w:val="00B2343F"/>
    <w:rsid w:val="00B23E29"/>
    <w:rsid w:val="00B24932"/>
    <w:rsid w:val="00B24B73"/>
    <w:rsid w:val="00B251FC"/>
    <w:rsid w:val="00B25E9A"/>
    <w:rsid w:val="00B3010B"/>
    <w:rsid w:val="00B30421"/>
    <w:rsid w:val="00B30D6B"/>
    <w:rsid w:val="00B35A15"/>
    <w:rsid w:val="00B35B82"/>
    <w:rsid w:val="00B35E4D"/>
    <w:rsid w:val="00B37469"/>
    <w:rsid w:val="00B3747B"/>
    <w:rsid w:val="00B4263C"/>
    <w:rsid w:val="00B42E93"/>
    <w:rsid w:val="00B42FB7"/>
    <w:rsid w:val="00B43531"/>
    <w:rsid w:val="00B45E84"/>
    <w:rsid w:val="00B5147D"/>
    <w:rsid w:val="00B52728"/>
    <w:rsid w:val="00B52AF0"/>
    <w:rsid w:val="00B5314C"/>
    <w:rsid w:val="00B563C1"/>
    <w:rsid w:val="00B57353"/>
    <w:rsid w:val="00B60459"/>
    <w:rsid w:val="00B605FA"/>
    <w:rsid w:val="00B60FDC"/>
    <w:rsid w:val="00B61A74"/>
    <w:rsid w:val="00B61F13"/>
    <w:rsid w:val="00B6330B"/>
    <w:rsid w:val="00B63E3F"/>
    <w:rsid w:val="00B63FA9"/>
    <w:rsid w:val="00B66C36"/>
    <w:rsid w:val="00B702B5"/>
    <w:rsid w:val="00B70418"/>
    <w:rsid w:val="00B710C1"/>
    <w:rsid w:val="00B71155"/>
    <w:rsid w:val="00B724B6"/>
    <w:rsid w:val="00B72AA5"/>
    <w:rsid w:val="00B735C4"/>
    <w:rsid w:val="00B74222"/>
    <w:rsid w:val="00B748FF"/>
    <w:rsid w:val="00B75F12"/>
    <w:rsid w:val="00B77ECF"/>
    <w:rsid w:val="00B81508"/>
    <w:rsid w:val="00B81880"/>
    <w:rsid w:val="00B822F7"/>
    <w:rsid w:val="00B830A9"/>
    <w:rsid w:val="00B83B47"/>
    <w:rsid w:val="00B856A9"/>
    <w:rsid w:val="00B85B44"/>
    <w:rsid w:val="00B90F13"/>
    <w:rsid w:val="00B9158B"/>
    <w:rsid w:val="00B91F7F"/>
    <w:rsid w:val="00B927D0"/>
    <w:rsid w:val="00B92B6E"/>
    <w:rsid w:val="00B94DCB"/>
    <w:rsid w:val="00B95CB4"/>
    <w:rsid w:val="00B969AA"/>
    <w:rsid w:val="00B96B2C"/>
    <w:rsid w:val="00BA0D74"/>
    <w:rsid w:val="00BA153C"/>
    <w:rsid w:val="00BA47A9"/>
    <w:rsid w:val="00BA4830"/>
    <w:rsid w:val="00BA7A51"/>
    <w:rsid w:val="00BB0C71"/>
    <w:rsid w:val="00BB178D"/>
    <w:rsid w:val="00BB1E02"/>
    <w:rsid w:val="00BB2BB7"/>
    <w:rsid w:val="00BB3191"/>
    <w:rsid w:val="00BB3BCE"/>
    <w:rsid w:val="00BB4480"/>
    <w:rsid w:val="00BB4489"/>
    <w:rsid w:val="00BB6E13"/>
    <w:rsid w:val="00BC1751"/>
    <w:rsid w:val="00BC1960"/>
    <w:rsid w:val="00BC2280"/>
    <w:rsid w:val="00BC34E5"/>
    <w:rsid w:val="00BC3BA7"/>
    <w:rsid w:val="00BC7348"/>
    <w:rsid w:val="00BD0467"/>
    <w:rsid w:val="00BD0BC8"/>
    <w:rsid w:val="00BD1101"/>
    <w:rsid w:val="00BD134C"/>
    <w:rsid w:val="00BD328B"/>
    <w:rsid w:val="00BD457E"/>
    <w:rsid w:val="00BD4C04"/>
    <w:rsid w:val="00BD50B0"/>
    <w:rsid w:val="00BD54D5"/>
    <w:rsid w:val="00BD58C2"/>
    <w:rsid w:val="00BE0CB0"/>
    <w:rsid w:val="00BE1414"/>
    <w:rsid w:val="00BE1567"/>
    <w:rsid w:val="00BE41A6"/>
    <w:rsid w:val="00BE5FF1"/>
    <w:rsid w:val="00BE6378"/>
    <w:rsid w:val="00BE68E3"/>
    <w:rsid w:val="00BE7ABB"/>
    <w:rsid w:val="00BF17E9"/>
    <w:rsid w:val="00BF3579"/>
    <w:rsid w:val="00C002FF"/>
    <w:rsid w:val="00C0286E"/>
    <w:rsid w:val="00C035A5"/>
    <w:rsid w:val="00C04DF1"/>
    <w:rsid w:val="00C05099"/>
    <w:rsid w:val="00C0549D"/>
    <w:rsid w:val="00C0610F"/>
    <w:rsid w:val="00C06222"/>
    <w:rsid w:val="00C071A1"/>
    <w:rsid w:val="00C10110"/>
    <w:rsid w:val="00C1075B"/>
    <w:rsid w:val="00C10EB2"/>
    <w:rsid w:val="00C12467"/>
    <w:rsid w:val="00C13ABB"/>
    <w:rsid w:val="00C150CA"/>
    <w:rsid w:val="00C15195"/>
    <w:rsid w:val="00C153C0"/>
    <w:rsid w:val="00C1554B"/>
    <w:rsid w:val="00C172FE"/>
    <w:rsid w:val="00C17881"/>
    <w:rsid w:val="00C2013A"/>
    <w:rsid w:val="00C20C81"/>
    <w:rsid w:val="00C2160D"/>
    <w:rsid w:val="00C2224D"/>
    <w:rsid w:val="00C24868"/>
    <w:rsid w:val="00C251D6"/>
    <w:rsid w:val="00C2532B"/>
    <w:rsid w:val="00C25D35"/>
    <w:rsid w:val="00C26C84"/>
    <w:rsid w:val="00C27692"/>
    <w:rsid w:val="00C277B6"/>
    <w:rsid w:val="00C30688"/>
    <w:rsid w:val="00C30950"/>
    <w:rsid w:val="00C31579"/>
    <w:rsid w:val="00C3159B"/>
    <w:rsid w:val="00C31884"/>
    <w:rsid w:val="00C32E80"/>
    <w:rsid w:val="00C33C72"/>
    <w:rsid w:val="00C34C56"/>
    <w:rsid w:val="00C35053"/>
    <w:rsid w:val="00C3555E"/>
    <w:rsid w:val="00C3619D"/>
    <w:rsid w:val="00C37A0A"/>
    <w:rsid w:val="00C37DE4"/>
    <w:rsid w:val="00C37E14"/>
    <w:rsid w:val="00C401BC"/>
    <w:rsid w:val="00C40445"/>
    <w:rsid w:val="00C4046C"/>
    <w:rsid w:val="00C40B95"/>
    <w:rsid w:val="00C42578"/>
    <w:rsid w:val="00C43D81"/>
    <w:rsid w:val="00C453B4"/>
    <w:rsid w:val="00C473ED"/>
    <w:rsid w:val="00C50209"/>
    <w:rsid w:val="00C50D15"/>
    <w:rsid w:val="00C518D4"/>
    <w:rsid w:val="00C52313"/>
    <w:rsid w:val="00C524DB"/>
    <w:rsid w:val="00C52864"/>
    <w:rsid w:val="00C52B27"/>
    <w:rsid w:val="00C5304B"/>
    <w:rsid w:val="00C56DB1"/>
    <w:rsid w:val="00C56E39"/>
    <w:rsid w:val="00C56FBC"/>
    <w:rsid w:val="00C57A50"/>
    <w:rsid w:val="00C57C69"/>
    <w:rsid w:val="00C57EB3"/>
    <w:rsid w:val="00C60F75"/>
    <w:rsid w:val="00C61669"/>
    <w:rsid w:val="00C61AE5"/>
    <w:rsid w:val="00C62298"/>
    <w:rsid w:val="00C623DB"/>
    <w:rsid w:val="00C65F1B"/>
    <w:rsid w:val="00C6746C"/>
    <w:rsid w:val="00C6763E"/>
    <w:rsid w:val="00C67CC9"/>
    <w:rsid w:val="00C732BF"/>
    <w:rsid w:val="00C739A6"/>
    <w:rsid w:val="00C74EDF"/>
    <w:rsid w:val="00C75332"/>
    <w:rsid w:val="00C757AC"/>
    <w:rsid w:val="00C7697F"/>
    <w:rsid w:val="00C77D35"/>
    <w:rsid w:val="00C81D46"/>
    <w:rsid w:val="00C84117"/>
    <w:rsid w:val="00C8527F"/>
    <w:rsid w:val="00C871D1"/>
    <w:rsid w:val="00C91D50"/>
    <w:rsid w:val="00C92E49"/>
    <w:rsid w:val="00C936F5"/>
    <w:rsid w:val="00C936FF"/>
    <w:rsid w:val="00C946A2"/>
    <w:rsid w:val="00C947D8"/>
    <w:rsid w:val="00C95510"/>
    <w:rsid w:val="00C97C05"/>
    <w:rsid w:val="00C97C63"/>
    <w:rsid w:val="00CA1566"/>
    <w:rsid w:val="00CA1581"/>
    <w:rsid w:val="00CA1F4A"/>
    <w:rsid w:val="00CA339F"/>
    <w:rsid w:val="00CA59B9"/>
    <w:rsid w:val="00CA5CF6"/>
    <w:rsid w:val="00CA5CFE"/>
    <w:rsid w:val="00CA5DA8"/>
    <w:rsid w:val="00CA60C6"/>
    <w:rsid w:val="00CA611F"/>
    <w:rsid w:val="00CA731A"/>
    <w:rsid w:val="00CB3019"/>
    <w:rsid w:val="00CB4326"/>
    <w:rsid w:val="00CB4602"/>
    <w:rsid w:val="00CB4E71"/>
    <w:rsid w:val="00CB5885"/>
    <w:rsid w:val="00CB6797"/>
    <w:rsid w:val="00CB695D"/>
    <w:rsid w:val="00CC1809"/>
    <w:rsid w:val="00CC1861"/>
    <w:rsid w:val="00CC2075"/>
    <w:rsid w:val="00CC2328"/>
    <w:rsid w:val="00CC2443"/>
    <w:rsid w:val="00CC4B5E"/>
    <w:rsid w:val="00CC4F3C"/>
    <w:rsid w:val="00CD2749"/>
    <w:rsid w:val="00CD2A17"/>
    <w:rsid w:val="00CD5A58"/>
    <w:rsid w:val="00CD5F97"/>
    <w:rsid w:val="00CD603A"/>
    <w:rsid w:val="00CD6EC9"/>
    <w:rsid w:val="00CD7E2A"/>
    <w:rsid w:val="00CE0500"/>
    <w:rsid w:val="00CE0903"/>
    <w:rsid w:val="00CE245E"/>
    <w:rsid w:val="00CE2B6C"/>
    <w:rsid w:val="00CE2B9E"/>
    <w:rsid w:val="00CE3A0A"/>
    <w:rsid w:val="00CE4D09"/>
    <w:rsid w:val="00CE4D6B"/>
    <w:rsid w:val="00CE5753"/>
    <w:rsid w:val="00CE770D"/>
    <w:rsid w:val="00CF02B4"/>
    <w:rsid w:val="00CF157B"/>
    <w:rsid w:val="00CF3122"/>
    <w:rsid w:val="00CF3568"/>
    <w:rsid w:val="00CF478A"/>
    <w:rsid w:val="00CF4CFA"/>
    <w:rsid w:val="00CF56CF"/>
    <w:rsid w:val="00CF6604"/>
    <w:rsid w:val="00CF72AA"/>
    <w:rsid w:val="00CF7AF1"/>
    <w:rsid w:val="00D0092D"/>
    <w:rsid w:val="00D04771"/>
    <w:rsid w:val="00D04803"/>
    <w:rsid w:val="00D05F2C"/>
    <w:rsid w:val="00D06789"/>
    <w:rsid w:val="00D0687A"/>
    <w:rsid w:val="00D06C44"/>
    <w:rsid w:val="00D115DB"/>
    <w:rsid w:val="00D1227F"/>
    <w:rsid w:val="00D12B88"/>
    <w:rsid w:val="00D174BA"/>
    <w:rsid w:val="00D17741"/>
    <w:rsid w:val="00D20F9B"/>
    <w:rsid w:val="00D226EE"/>
    <w:rsid w:val="00D236C9"/>
    <w:rsid w:val="00D24123"/>
    <w:rsid w:val="00D24AF7"/>
    <w:rsid w:val="00D269E0"/>
    <w:rsid w:val="00D26F88"/>
    <w:rsid w:val="00D27503"/>
    <w:rsid w:val="00D305DF"/>
    <w:rsid w:val="00D33DA1"/>
    <w:rsid w:val="00D36307"/>
    <w:rsid w:val="00D36462"/>
    <w:rsid w:val="00D3721A"/>
    <w:rsid w:val="00D3766F"/>
    <w:rsid w:val="00D378C5"/>
    <w:rsid w:val="00D37947"/>
    <w:rsid w:val="00D4300D"/>
    <w:rsid w:val="00D43352"/>
    <w:rsid w:val="00D4465C"/>
    <w:rsid w:val="00D4681C"/>
    <w:rsid w:val="00D47CBC"/>
    <w:rsid w:val="00D513A7"/>
    <w:rsid w:val="00D51F93"/>
    <w:rsid w:val="00D520B3"/>
    <w:rsid w:val="00D53208"/>
    <w:rsid w:val="00D5397D"/>
    <w:rsid w:val="00D5426C"/>
    <w:rsid w:val="00D54833"/>
    <w:rsid w:val="00D54B56"/>
    <w:rsid w:val="00D554FF"/>
    <w:rsid w:val="00D567D9"/>
    <w:rsid w:val="00D56E5C"/>
    <w:rsid w:val="00D575A4"/>
    <w:rsid w:val="00D61251"/>
    <w:rsid w:val="00D613D5"/>
    <w:rsid w:val="00D61BAC"/>
    <w:rsid w:val="00D6296E"/>
    <w:rsid w:val="00D62F04"/>
    <w:rsid w:val="00D630EB"/>
    <w:rsid w:val="00D63636"/>
    <w:rsid w:val="00D657E0"/>
    <w:rsid w:val="00D65B08"/>
    <w:rsid w:val="00D65FFB"/>
    <w:rsid w:val="00D663FF"/>
    <w:rsid w:val="00D67CAA"/>
    <w:rsid w:val="00D70183"/>
    <w:rsid w:val="00D70557"/>
    <w:rsid w:val="00D70D30"/>
    <w:rsid w:val="00D71E21"/>
    <w:rsid w:val="00D73729"/>
    <w:rsid w:val="00D73965"/>
    <w:rsid w:val="00D743C7"/>
    <w:rsid w:val="00D76A3F"/>
    <w:rsid w:val="00D7764D"/>
    <w:rsid w:val="00D77880"/>
    <w:rsid w:val="00D77DA5"/>
    <w:rsid w:val="00D77EA7"/>
    <w:rsid w:val="00D82CE3"/>
    <w:rsid w:val="00D83280"/>
    <w:rsid w:val="00D85395"/>
    <w:rsid w:val="00D859CD"/>
    <w:rsid w:val="00D86080"/>
    <w:rsid w:val="00D86242"/>
    <w:rsid w:val="00D87CF8"/>
    <w:rsid w:val="00D91797"/>
    <w:rsid w:val="00D92382"/>
    <w:rsid w:val="00D9247F"/>
    <w:rsid w:val="00D92F73"/>
    <w:rsid w:val="00D95368"/>
    <w:rsid w:val="00D9623B"/>
    <w:rsid w:val="00D96A94"/>
    <w:rsid w:val="00DA1AFE"/>
    <w:rsid w:val="00DA2B2E"/>
    <w:rsid w:val="00DA3870"/>
    <w:rsid w:val="00DA3F5E"/>
    <w:rsid w:val="00DA4B10"/>
    <w:rsid w:val="00DA5F17"/>
    <w:rsid w:val="00DA66D7"/>
    <w:rsid w:val="00DA6F95"/>
    <w:rsid w:val="00DA7924"/>
    <w:rsid w:val="00DB045C"/>
    <w:rsid w:val="00DB1217"/>
    <w:rsid w:val="00DB1C5D"/>
    <w:rsid w:val="00DB2A23"/>
    <w:rsid w:val="00DB32DF"/>
    <w:rsid w:val="00DB3B3B"/>
    <w:rsid w:val="00DB4C70"/>
    <w:rsid w:val="00DB5178"/>
    <w:rsid w:val="00DB64AD"/>
    <w:rsid w:val="00DB67D4"/>
    <w:rsid w:val="00DC0285"/>
    <w:rsid w:val="00DC0B0B"/>
    <w:rsid w:val="00DC130A"/>
    <w:rsid w:val="00DC1C4D"/>
    <w:rsid w:val="00DC2DE3"/>
    <w:rsid w:val="00DC2E15"/>
    <w:rsid w:val="00DD2A2A"/>
    <w:rsid w:val="00DD2F50"/>
    <w:rsid w:val="00DD41A4"/>
    <w:rsid w:val="00DD4E90"/>
    <w:rsid w:val="00DD5BC8"/>
    <w:rsid w:val="00DE3C15"/>
    <w:rsid w:val="00DE494D"/>
    <w:rsid w:val="00DE5111"/>
    <w:rsid w:val="00DE6195"/>
    <w:rsid w:val="00DE7566"/>
    <w:rsid w:val="00DE7F45"/>
    <w:rsid w:val="00DF041E"/>
    <w:rsid w:val="00DF05DD"/>
    <w:rsid w:val="00DF0712"/>
    <w:rsid w:val="00DF3344"/>
    <w:rsid w:val="00DF43AF"/>
    <w:rsid w:val="00DF47B6"/>
    <w:rsid w:val="00DF48FE"/>
    <w:rsid w:val="00DF57A5"/>
    <w:rsid w:val="00DF67CB"/>
    <w:rsid w:val="00E02911"/>
    <w:rsid w:val="00E04263"/>
    <w:rsid w:val="00E04CC5"/>
    <w:rsid w:val="00E05018"/>
    <w:rsid w:val="00E0545C"/>
    <w:rsid w:val="00E05D31"/>
    <w:rsid w:val="00E06541"/>
    <w:rsid w:val="00E074B8"/>
    <w:rsid w:val="00E101E2"/>
    <w:rsid w:val="00E12609"/>
    <w:rsid w:val="00E13ECC"/>
    <w:rsid w:val="00E140F2"/>
    <w:rsid w:val="00E14A08"/>
    <w:rsid w:val="00E14F45"/>
    <w:rsid w:val="00E15634"/>
    <w:rsid w:val="00E16ABF"/>
    <w:rsid w:val="00E16DB7"/>
    <w:rsid w:val="00E17CF3"/>
    <w:rsid w:val="00E204AC"/>
    <w:rsid w:val="00E204D3"/>
    <w:rsid w:val="00E2075C"/>
    <w:rsid w:val="00E20F09"/>
    <w:rsid w:val="00E21DB3"/>
    <w:rsid w:val="00E22A5A"/>
    <w:rsid w:val="00E2408D"/>
    <w:rsid w:val="00E249BD"/>
    <w:rsid w:val="00E24B08"/>
    <w:rsid w:val="00E24C51"/>
    <w:rsid w:val="00E26287"/>
    <w:rsid w:val="00E26444"/>
    <w:rsid w:val="00E271A3"/>
    <w:rsid w:val="00E302B0"/>
    <w:rsid w:val="00E306FE"/>
    <w:rsid w:val="00E31774"/>
    <w:rsid w:val="00E31F3A"/>
    <w:rsid w:val="00E33F51"/>
    <w:rsid w:val="00E353F4"/>
    <w:rsid w:val="00E369C1"/>
    <w:rsid w:val="00E37716"/>
    <w:rsid w:val="00E400D3"/>
    <w:rsid w:val="00E40C14"/>
    <w:rsid w:val="00E40E81"/>
    <w:rsid w:val="00E41E48"/>
    <w:rsid w:val="00E4377E"/>
    <w:rsid w:val="00E43CF7"/>
    <w:rsid w:val="00E45876"/>
    <w:rsid w:val="00E46198"/>
    <w:rsid w:val="00E468B1"/>
    <w:rsid w:val="00E46B76"/>
    <w:rsid w:val="00E47235"/>
    <w:rsid w:val="00E50D22"/>
    <w:rsid w:val="00E51DD5"/>
    <w:rsid w:val="00E55832"/>
    <w:rsid w:val="00E606BA"/>
    <w:rsid w:val="00E6148F"/>
    <w:rsid w:val="00E62585"/>
    <w:rsid w:val="00E6275A"/>
    <w:rsid w:val="00E62EB3"/>
    <w:rsid w:val="00E63D0B"/>
    <w:rsid w:val="00E64FA0"/>
    <w:rsid w:val="00E6732F"/>
    <w:rsid w:val="00E67991"/>
    <w:rsid w:val="00E70462"/>
    <w:rsid w:val="00E70C2F"/>
    <w:rsid w:val="00E721D5"/>
    <w:rsid w:val="00E72A0C"/>
    <w:rsid w:val="00E72B0D"/>
    <w:rsid w:val="00E73209"/>
    <w:rsid w:val="00E7423E"/>
    <w:rsid w:val="00E74486"/>
    <w:rsid w:val="00E74A3B"/>
    <w:rsid w:val="00E74DF3"/>
    <w:rsid w:val="00E753E7"/>
    <w:rsid w:val="00E762F8"/>
    <w:rsid w:val="00E76773"/>
    <w:rsid w:val="00E76B7A"/>
    <w:rsid w:val="00E82051"/>
    <w:rsid w:val="00E82282"/>
    <w:rsid w:val="00E827D7"/>
    <w:rsid w:val="00E83770"/>
    <w:rsid w:val="00E83BDA"/>
    <w:rsid w:val="00E8435A"/>
    <w:rsid w:val="00E8545D"/>
    <w:rsid w:val="00E85F17"/>
    <w:rsid w:val="00E91395"/>
    <w:rsid w:val="00E91829"/>
    <w:rsid w:val="00E918E5"/>
    <w:rsid w:val="00E919A6"/>
    <w:rsid w:val="00E921ED"/>
    <w:rsid w:val="00E9221D"/>
    <w:rsid w:val="00E9246B"/>
    <w:rsid w:val="00E92D5D"/>
    <w:rsid w:val="00E93AC3"/>
    <w:rsid w:val="00E9500A"/>
    <w:rsid w:val="00E95446"/>
    <w:rsid w:val="00E96A55"/>
    <w:rsid w:val="00E97068"/>
    <w:rsid w:val="00EA2CB8"/>
    <w:rsid w:val="00EA2EB7"/>
    <w:rsid w:val="00EA40C5"/>
    <w:rsid w:val="00EA47FF"/>
    <w:rsid w:val="00EB16B7"/>
    <w:rsid w:val="00EB207F"/>
    <w:rsid w:val="00EB3DF0"/>
    <w:rsid w:val="00EB6040"/>
    <w:rsid w:val="00EB61FA"/>
    <w:rsid w:val="00EB73E0"/>
    <w:rsid w:val="00EB745A"/>
    <w:rsid w:val="00EC0988"/>
    <w:rsid w:val="00EC14B1"/>
    <w:rsid w:val="00EC4D3B"/>
    <w:rsid w:val="00EC6330"/>
    <w:rsid w:val="00EC71C8"/>
    <w:rsid w:val="00EC725A"/>
    <w:rsid w:val="00EC74AE"/>
    <w:rsid w:val="00ED18A3"/>
    <w:rsid w:val="00ED2344"/>
    <w:rsid w:val="00ED2A37"/>
    <w:rsid w:val="00ED2D07"/>
    <w:rsid w:val="00ED2FFA"/>
    <w:rsid w:val="00ED57DA"/>
    <w:rsid w:val="00ED6679"/>
    <w:rsid w:val="00ED6C17"/>
    <w:rsid w:val="00ED711C"/>
    <w:rsid w:val="00EE001E"/>
    <w:rsid w:val="00EE0A2A"/>
    <w:rsid w:val="00EE1510"/>
    <w:rsid w:val="00EE1538"/>
    <w:rsid w:val="00EE1D52"/>
    <w:rsid w:val="00EE21FC"/>
    <w:rsid w:val="00EE3229"/>
    <w:rsid w:val="00EE3A42"/>
    <w:rsid w:val="00EE3AE1"/>
    <w:rsid w:val="00EE5718"/>
    <w:rsid w:val="00EF36A7"/>
    <w:rsid w:val="00EF40BD"/>
    <w:rsid w:val="00EF468E"/>
    <w:rsid w:val="00EF4AF8"/>
    <w:rsid w:val="00EF5742"/>
    <w:rsid w:val="00EF574D"/>
    <w:rsid w:val="00EF6C3A"/>
    <w:rsid w:val="00EF6EC3"/>
    <w:rsid w:val="00EF6F93"/>
    <w:rsid w:val="00EF70D0"/>
    <w:rsid w:val="00F01E5A"/>
    <w:rsid w:val="00F04C17"/>
    <w:rsid w:val="00F04C6A"/>
    <w:rsid w:val="00F05430"/>
    <w:rsid w:val="00F05909"/>
    <w:rsid w:val="00F07CBE"/>
    <w:rsid w:val="00F10EAB"/>
    <w:rsid w:val="00F11A43"/>
    <w:rsid w:val="00F14F2D"/>
    <w:rsid w:val="00F156B2"/>
    <w:rsid w:val="00F15A85"/>
    <w:rsid w:val="00F1632A"/>
    <w:rsid w:val="00F1704E"/>
    <w:rsid w:val="00F1798F"/>
    <w:rsid w:val="00F2134F"/>
    <w:rsid w:val="00F22155"/>
    <w:rsid w:val="00F222FB"/>
    <w:rsid w:val="00F229BC"/>
    <w:rsid w:val="00F23346"/>
    <w:rsid w:val="00F2499C"/>
    <w:rsid w:val="00F24EEE"/>
    <w:rsid w:val="00F26529"/>
    <w:rsid w:val="00F271E6"/>
    <w:rsid w:val="00F27A77"/>
    <w:rsid w:val="00F303B8"/>
    <w:rsid w:val="00F332FF"/>
    <w:rsid w:val="00F34C6E"/>
    <w:rsid w:val="00F358CA"/>
    <w:rsid w:val="00F372A3"/>
    <w:rsid w:val="00F402E8"/>
    <w:rsid w:val="00F4293D"/>
    <w:rsid w:val="00F42FAF"/>
    <w:rsid w:val="00F43794"/>
    <w:rsid w:val="00F449A8"/>
    <w:rsid w:val="00F46B38"/>
    <w:rsid w:val="00F46FBB"/>
    <w:rsid w:val="00F47370"/>
    <w:rsid w:val="00F47B3B"/>
    <w:rsid w:val="00F47C1A"/>
    <w:rsid w:val="00F508AF"/>
    <w:rsid w:val="00F51EE4"/>
    <w:rsid w:val="00F52F81"/>
    <w:rsid w:val="00F53B95"/>
    <w:rsid w:val="00F54DBA"/>
    <w:rsid w:val="00F5611F"/>
    <w:rsid w:val="00F56247"/>
    <w:rsid w:val="00F6016E"/>
    <w:rsid w:val="00F6053A"/>
    <w:rsid w:val="00F60570"/>
    <w:rsid w:val="00F6101B"/>
    <w:rsid w:val="00F6457F"/>
    <w:rsid w:val="00F64D6B"/>
    <w:rsid w:val="00F66D1C"/>
    <w:rsid w:val="00F67EFE"/>
    <w:rsid w:val="00F70C30"/>
    <w:rsid w:val="00F713E0"/>
    <w:rsid w:val="00F72209"/>
    <w:rsid w:val="00F7228D"/>
    <w:rsid w:val="00F72CCB"/>
    <w:rsid w:val="00F733E6"/>
    <w:rsid w:val="00F75A09"/>
    <w:rsid w:val="00F7609E"/>
    <w:rsid w:val="00F803AC"/>
    <w:rsid w:val="00F80639"/>
    <w:rsid w:val="00F809C0"/>
    <w:rsid w:val="00F82808"/>
    <w:rsid w:val="00F82A8E"/>
    <w:rsid w:val="00F82C95"/>
    <w:rsid w:val="00F82FC0"/>
    <w:rsid w:val="00F83AC5"/>
    <w:rsid w:val="00F8576A"/>
    <w:rsid w:val="00F900F1"/>
    <w:rsid w:val="00F90BC0"/>
    <w:rsid w:val="00F91143"/>
    <w:rsid w:val="00F92518"/>
    <w:rsid w:val="00F93D86"/>
    <w:rsid w:val="00F959F0"/>
    <w:rsid w:val="00F96C32"/>
    <w:rsid w:val="00F96EF1"/>
    <w:rsid w:val="00F97205"/>
    <w:rsid w:val="00FA29FD"/>
    <w:rsid w:val="00FA3116"/>
    <w:rsid w:val="00FA337D"/>
    <w:rsid w:val="00FA373F"/>
    <w:rsid w:val="00FA4305"/>
    <w:rsid w:val="00FA4BFD"/>
    <w:rsid w:val="00FA6A87"/>
    <w:rsid w:val="00FA7A2A"/>
    <w:rsid w:val="00FA7F01"/>
    <w:rsid w:val="00FB1ED8"/>
    <w:rsid w:val="00FB2550"/>
    <w:rsid w:val="00FB269D"/>
    <w:rsid w:val="00FB3C33"/>
    <w:rsid w:val="00FB4300"/>
    <w:rsid w:val="00FB4886"/>
    <w:rsid w:val="00FB5E94"/>
    <w:rsid w:val="00FB60D6"/>
    <w:rsid w:val="00FB638D"/>
    <w:rsid w:val="00FC12BE"/>
    <w:rsid w:val="00FC2065"/>
    <w:rsid w:val="00FC2194"/>
    <w:rsid w:val="00FC745E"/>
    <w:rsid w:val="00FD1059"/>
    <w:rsid w:val="00FD10A2"/>
    <w:rsid w:val="00FD1790"/>
    <w:rsid w:val="00FD252D"/>
    <w:rsid w:val="00FD2CCD"/>
    <w:rsid w:val="00FD3198"/>
    <w:rsid w:val="00FD358C"/>
    <w:rsid w:val="00FD4997"/>
    <w:rsid w:val="00FD580B"/>
    <w:rsid w:val="00FD6C2B"/>
    <w:rsid w:val="00FD7FBD"/>
    <w:rsid w:val="00FE1DA8"/>
    <w:rsid w:val="00FE3B18"/>
    <w:rsid w:val="00FE52AF"/>
    <w:rsid w:val="00FE5BF1"/>
    <w:rsid w:val="00FE7ED8"/>
    <w:rsid w:val="00FF10CA"/>
    <w:rsid w:val="00FF26BD"/>
    <w:rsid w:val="00FF284A"/>
    <w:rsid w:val="00FF2FD6"/>
    <w:rsid w:val="00FF37F5"/>
    <w:rsid w:val="00FF5EAB"/>
    <w:rsid w:val="00FF5ECD"/>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4E5A2FDB-9F23-49DB-898C-423639F8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237BBF"/>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6365">
      <w:bodyDiv w:val="1"/>
      <w:marLeft w:val="0"/>
      <w:marRight w:val="0"/>
      <w:marTop w:val="0"/>
      <w:marBottom w:val="0"/>
      <w:divBdr>
        <w:top w:val="none" w:sz="0" w:space="0" w:color="auto"/>
        <w:left w:val="none" w:sz="0" w:space="0" w:color="auto"/>
        <w:bottom w:val="none" w:sz="0" w:space="0" w:color="auto"/>
        <w:right w:val="none" w:sz="0" w:space="0" w:color="auto"/>
      </w:divBdr>
      <w:divsChild>
        <w:div w:id="1761413548">
          <w:marLeft w:val="0"/>
          <w:marRight w:val="0"/>
          <w:marTop w:val="0"/>
          <w:marBottom w:val="0"/>
          <w:divBdr>
            <w:top w:val="none" w:sz="0" w:space="0" w:color="auto"/>
            <w:left w:val="none" w:sz="0" w:space="0" w:color="auto"/>
            <w:bottom w:val="none" w:sz="0" w:space="0" w:color="auto"/>
            <w:right w:val="none" w:sz="0" w:space="0" w:color="auto"/>
          </w:divBdr>
        </w:div>
      </w:divsChild>
    </w:div>
    <w:div w:id="174423011">
      <w:bodyDiv w:val="1"/>
      <w:marLeft w:val="0"/>
      <w:marRight w:val="0"/>
      <w:marTop w:val="0"/>
      <w:marBottom w:val="0"/>
      <w:divBdr>
        <w:top w:val="none" w:sz="0" w:space="0" w:color="auto"/>
        <w:left w:val="none" w:sz="0" w:space="0" w:color="auto"/>
        <w:bottom w:val="none" w:sz="0" w:space="0" w:color="auto"/>
        <w:right w:val="none" w:sz="0" w:space="0" w:color="auto"/>
      </w:divBdr>
      <w:divsChild>
        <w:div w:id="511454838">
          <w:marLeft w:val="0"/>
          <w:marRight w:val="0"/>
          <w:marTop w:val="0"/>
          <w:marBottom w:val="0"/>
          <w:divBdr>
            <w:top w:val="none" w:sz="0" w:space="0" w:color="auto"/>
            <w:left w:val="none" w:sz="0" w:space="0" w:color="auto"/>
            <w:bottom w:val="none" w:sz="0" w:space="0" w:color="auto"/>
            <w:right w:val="none" w:sz="0" w:space="0" w:color="auto"/>
          </w:divBdr>
        </w:div>
      </w:divsChild>
    </w:div>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0962">
      <w:bodyDiv w:val="1"/>
      <w:marLeft w:val="0"/>
      <w:marRight w:val="0"/>
      <w:marTop w:val="0"/>
      <w:marBottom w:val="0"/>
      <w:divBdr>
        <w:top w:val="none" w:sz="0" w:space="0" w:color="auto"/>
        <w:left w:val="none" w:sz="0" w:space="0" w:color="auto"/>
        <w:bottom w:val="none" w:sz="0" w:space="0" w:color="auto"/>
        <w:right w:val="none" w:sz="0" w:space="0" w:color="auto"/>
      </w:divBdr>
    </w:div>
    <w:div w:id="775563353">
      <w:bodyDiv w:val="1"/>
      <w:marLeft w:val="0"/>
      <w:marRight w:val="0"/>
      <w:marTop w:val="0"/>
      <w:marBottom w:val="0"/>
      <w:divBdr>
        <w:top w:val="none" w:sz="0" w:space="0" w:color="auto"/>
        <w:left w:val="none" w:sz="0" w:space="0" w:color="auto"/>
        <w:bottom w:val="none" w:sz="0" w:space="0" w:color="auto"/>
        <w:right w:val="none" w:sz="0" w:space="0" w:color="auto"/>
      </w:divBdr>
    </w:div>
    <w:div w:id="1187796012">
      <w:bodyDiv w:val="1"/>
      <w:marLeft w:val="0"/>
      <w:marRight w:val="0"/>
      <w:marTop w:val="0"/>
      <w:marBottom w:val="0"/>
      <w:divBdr>
        <w:top w:val="none" w:sz="0" w:space="0" w:color="auto"/>
        <w:left w:val="none" w:sz="0" w:space="0" w:color="auto"/>
        <w:bottom w:val="none" w:sz="0" w:space="0" w:color="auto"/>
        <w:right w:val="none" w:sz="0" w:space="0" w:color="auto"/>
      </w:divBdr>
      <w:divsChild>
        <w:div w:id="898785328">
          <w:marLeft w:val="0"/>
          <w:marRight w:val="0"/>
          <w:marTop w:val="0"/>
          <w:marBottom w:val="0"/>
          <w:divBdr>
            <w:top w:val="none" w:sz="0" w:space="0" w:color="auto"/>
            <w:left w:val="none" w:sz="0" w:space="0" w:color="auto"/>
            <w:bottom w:val="none" w:sz="0" w:space="0" w:color="auto"/>
            <w:right w:val="none" w:sz="0" w:space="0" w:color="auto"/>
          </w:divBdr>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62832120">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 w:id="1491749989">
      <w:bodyDiv w:val="1"/>
      <w:marLeft w:val="0"/>
      <w:marRight w:val="0"/>
      <w:marTop w:val="0"/>
      <w:marBottom w:val="0"/>
      <w:divBdr>
        <w:top w:val="none" w:sz="0" w:space="0" w:color="auto"/>
        <w:left w:val="none" w:sz="0" w:space="0" w:color="auto"/>
        <w:bottom w:val="none" w:sz="0" w:space="0" w:color="auto"/>
        <w:right w:val="none" w:sz="0" w:space="0" w:color="auto"/>
      </w:divBdr>
      <w:divsChild>
        <w:div w:id="1139152326">
          <w:marLeft w:val="0"/>
          <w:marRight w:val="0"/>
          <w:marTop w:val="0"/>
          <w:marBottom w:val="0"/>
          <w:divBdr>
            <w:top w:val="none" w:sz="0" w:space="0" w:color="auto"/>
            <w:left w:val="none" w:sz="0" w:space="0" w:color="auto"/>
            <w:bottom w:val="none" w:sz="0" w:space="0" w:color="auto"/>
            <w:right w:val="none" w:sz="0" w:space="0" w:color="auto"/>
          </w:divBdr>
        </w:div>
      </w:divsChild>
    </w:div>
    <w:div w:id="1554777761">
      <w:bodyDiv w:val="1"/>
      <w:marLeft w:val="0"/>
      <w:marRight w:val="0"/>
      <w:marTop w:val="0"/>
      <w:marBottom w:val="0"/>
      <w:divBdr>
        <w:top w:val="none" w:sz="0" w:space="0" w:color="auto"/>
        <w:left w:val="none" w:sz="0" w:space="0" w:color="auto"/>
        <w:bottom w:val="none" w:sz="0" w:space="0" w:color="auto"/>
        <w:right w:val="none" w:sz="0" w:space="0" w:color="auto"/>
      </w:divBdr>
      <w:divsChild>
        <w:div w:id="1937132735">
          <w:marLeft w:val="0"/>
          <w:marRight w:val="0"/>
          <w:marTop w:val="0"/>
          <w:marBottom w:val="0"/>
          <w:divBdr>
            <w:top w:val="none" w:sz="0" w:space="0" w:color="auto"/>
            <w:left w:val="none" w:sz="0" w:space="0" w:color="auto"/>
            <w:bottom w:val="none" w:sz="0" w:space="0" w:color="auto"/>
            <w:right w:val="none" w:sz="0" w:space="0" w:color="auto"/>
          </w:divBdr>
        </w:div>
      </w:divsChild>
    </w:div>
    <w:div w:id="1798907125">
      <w:bodyDiv w:val="1"/>
      <w:marLeft w:val="0"/>
      <w:marRight w:val="0"/>
      <w:marTop w:val="0"/>
      <w:marBottom w:val="0"/>
      <w:divBdr>
        <w:top w:val="none" w:sz="0" w:space="0" w:color="auto"/>
        <w:left w:val="none" w:sz="0" w:space="0" w:color="auto"/>
        <w:bottom w:val="none" w:sz="0" w:space="0" w:color="auto"/>
        <w:right w:val="none" w:sz="0" w:space="0" w:color="auto"/>
      </w:divBdr>
      <w:divsChild>
        <w:div w:id="19452638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DACF8A35-54B4-4A6F-AD8B-B7547FF46A20}">
  <ds:schemaRefs>
    <ds:schemaRef ds:uri="http://www.w3.org/XML/1998/namespace"/>
    <ds:schemaRef ds:uri="ab897e66-8555-453e-a498-d234c2d9a514"/>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3.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5.xml><?xml version="1.0" encoding="utf-8"?>
<ds:datastoreItem xmlns:ds="http://schemas.openxmlformats.org/officeDocument/2006/customXml" ds:itemID="{F1F42337-4177-4711-A623-26D912CD93E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3462</TotalTime>
  <Pages>3</Pages>
  <Words>18461</Words>
  <Characters>107074</Characters>
  <Application>Microsoft Office Word</Application>
  <DocSecurity>0</DocSecurity>
  <Lines>892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2026-01-22T07:12:00Z</dcterms:created>
  <cp:lastPrinted>2026-03-20T13:31:00Z</cp:lastPrinted>
  <dcterms:modified xsi:type="dcterms:W3CDTF">2026-05-04T13:02:00Z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